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660359" w:rsidRDefault="00660359" w:rsidP="00611B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ПОВІСТКА ПРО ВИКЛИК</w:t>
            </w:r>
          </w:p>
          <w:p w:rsidR="00660359" w:rsidRPr="00660359" w:rsidRDefault="00660359" w:rsidP="00611B9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660359" w:rsidRDefault="00C82752" w:rsidP="0066035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4C0E">
              <w:rPr>
                <w:b/>
                <w:color w:val="000000"/>
                <w:sz w:val="28"/>
                <w:szCs w:val="28"/>
                <w:lang w:val="uk-UA"/>
              </w:rPr>
              <w:t>Беспечний</w:t>
            </w:r>
            <w:proofErr w:type="spellEnd"/>
            <w:r w:rsidR="00D24C0E">
              <w:rPr>
                <w:b/>
                <w:color w:val="000000"/>
                <w:sz w:val="28"/>
                <w:szCs w:val="28"/>
                <w:lang w:val="uk-UA"/>
              </w:rPr>
              <w:t xml:space="preserve"> Юрій Володимирович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D24C0E">
              <w:rPr>
                <w:b/>
                <w:sz w:val="28"/>
                <w:szCs w:val="28"/>
                <w:lang w:val="uk-UA"/>
              </w:rPr>
              <w:t>05</w:t>
            </w:r>
            <w:r w:rsidR="002C01C3" w:rsidRPr="003023BE">
              <w:rPr>
                <w:b/>
                <w:sz w:val="28"/>
                <w:szCs w:val="28"/>
              </w:rPr>
              <w:t>.</w:t>
            </w:r>
            <w:r w:rsidR="00D24C0E">
              <w:rPr>
                <w:b/>
                <w:sz w:val="28"/>
                <w:szCs w:val="28"/>
                <w:lang w:val="uk-UA"/>
              </w:rPr>
              <w:t>02</w:t>
            </w:r>
            <w:r w:rsidR="002C01C3" w:rsidRPr="003023BE">
              <w:rPr>
                <w:b/>
                <w:sz w:val="28"/>
                <w:szCs w:val="28"/>
              </w:rPr>
              <w:t>.197</w:t>
            </w:r>
            <w:r w:rsidR="00D24C0E">
              <w:rPr>
                <w:b/>
                <w:sz w:val="28"/>
                <w:szCs w:val="28"/>
                <w:lang w:val="uk-UA"/>
              </w:rPr>
              <w:t>6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F30B9">
              <w:rPr>
                <w:b/>
                <w:color w:val="000000"/>
                <w:sz w:val="28"/>
                <w:szCs w:val="28"/>
                <w:lang w:val="uk-UA"/>
              </w:rPr>
              <w:t>р.н</w:t>
            </w:r>
            <w:proofErr w:type="spellEnd"/>
            <w:r w:rsidR="000F30B9">
              <w:rPr>
                <w:b/>
                <w:color w:val="000000"/>
                <w:sz w:val="28"/>
                <w:szCs w:val="28"/>
                <w:lang w:val="uk-UA"/>
              </w:rPr>
              <w:t>.</w:t>
            </w:r>
            <w:r w:rsidR="000F30B9"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="000F30B9"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 w:rsidR="00D24C0E">
              <w:rPr>
                <w:sz w:val="28"/>
                <w:szCs w:val="28"/>
                <w:lang w:val="uk-UA"/>
              </w:rPr>
              <w:t>м. Луганськ Луганської області</w:t>
            </w:r>
            <w:r w:rsidR="00D24C0E" w:rsidRPr="006D3C06">
              <w:rPr>
                <w:sz w:val="28"/>
                <w:szCs w:val="28"/>
                <w:lang w:val="uk-UA"/>
              </w:rPr>
              <w:t>, кв</w:t>
            </w:r>
            <w:r w:rsidR="00D24C0E">
              <w:rPr>
                <w:sz w:val="28"/>
                <w:szCs w:val="28"/>
                <w:lang w:val="uk-UA"/>
              </w:rPr>
              <w:t>артал</w:t>
            </w:r>
            <w:r w:rsidR="00D24C0E" w:rsidRPr="006D3C06">
              <w:rPr>
                <w:sz w:val="28"/>
                <w:szCs w:val="28"/>
                <w:lang w:val="uk-UA"/>
              </w:rPr>
              <w:t xml:space="preserve"> Комарова, буд. 13, кв. 9</w:t>
            </w:r>
            <w:r w:rsidR="000F30B9">
              <w:rPr>
                <w:color w:val="000000"/>
                <w:sz w:val="28"/>
                <w:szCs w:val="28"/>
                <w:lang w:val="uk-UA"/>
              </w:rPr>
              <w:t>,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="002C01C3" w:rsidRPr="002C01C3">
              <w:rPr>
                <w:lang w:val="uk-UA"/>
              </w:rPr>
              <w:t xml:space="preserve">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60359"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305DE">
              <w:rPr>
                <w:b/>
                <w:color w:val="000000"/>
                <w:sz w:val="28"/>
                <w:szCs w:val="28"/>
                <w:lang w:val="uk-UA"/>
              </w:rPr>
              <w:t>31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D24C0E">
              <w:rPr>
                <w:b/>
                <w:color w:val="000000"/>
                <w:sz w:val="28"/>
                <w:szCs w:val="28"/>
                <w:lang w:val="uk-UA"/>
              </w:rPr>
              <w:t>січня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20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  <w:r w:rsidR="00D24C0E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року о 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10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год. 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660359"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 xml:space="preserve">, вул. Героїв Майдану, 19, </w:t>
            </w:r>
            <w:proofErr w:type="spellStart"/>
            <w:r w:rsidR="003C2169"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 w:rsidR="003C2169">
              <w:rPr>
                <w:color w:val="000000"/>
                <w:sz w:val="28"/>
                <w:szCs w:val="28"/>
                <w:lang w:val="uk-UA"/>
              </w:rPr>
              <w:t>. 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10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4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Омельченка</w:t>
            </w:r>
            <w:r w:rsidR="002C01C3">
              <w:rPr>
                <w:color w:val="000000"/>
                <w:sz w:val="28"/>
                <w:szCs w:val="28"/>
                <w:lang w:val="uk-UA"/>
              </w:rPr>
              <w:t> 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.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.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24C0E">
              <w:rPr>
                <w:color w:val="000000"/>
                <w:sz w:val="28"/>
                <w:szCs w:val="28"/>
                <w:lang w:val="uk-UA"/>
              </w:rPr>
              <w:t>№ 22019240000000040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23BBE" w:rsidRPr="00660359" w:rsidRDefault="00D23BBE" w:rsidP="0066035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0359" w:rsidRPr="00660359" w:rsidRDefault="00660359" w:rsidP="00611B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660359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0359" w:rsidRPr="00660359" w:rsidRDefault="000F30B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Омельченко</w:t>
            </w:r>
          </w:p>
          <w:p w:rsidR="00660359" w:rsidRPr="00660359" w:rsidRDefault="00660359" w:rsidP="00600EC5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660359" w:rsidRPr="00660359" w:rsidRDefault="00660359" w:rsidP="00600EC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5A2CC6" w:rsidRDefault="005A2CC6" w:rsidP="00390920">
      <w:pPr>
        <w:rPr>
          <w:sz w:val="20"/>
          <w:szCs w:val="20"/>
          <w:lang w:val="uk-UA"/>
        </w:rPr>
      </w:pPr>
    </w:p>
    <w:p w:rsidR="00A521B8" w:rsidRDefault="00A521B8"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  <w:gridCol w:w="360"/>
      </w:tblGrid>
      <w:tr w:rsidR="00A521B8" w:rsidRPr="00860536" w:rsidTr="00660359">
        <w:trPr>
          <w:gridAfter w:val="1"/>
          <w:wAfter w:w="360" w:type="dxa"/>
          <w:trHeight w:val="14233"/>
        </w:trPr>
        <w:tc>
          <w:tcPr>
            <w:tcW w:w="9228" w:type="dxa"/>
            <w:shd w:val="clear" w:color="auto" w:fill="auto"/>
          </w:tcPr>
          <w:p w:rsidR="00A521B8" w:rsidRPr="00660359" w:rsidRDefault="00A521B8" w:rsidP="00860536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A521B8" w:rsidRPr="00660359" w:rsidRDefault="00A521B8" w:rsidP="00860536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660359" w:rsidRDefault="00600EC5" w:rsidP="00A228A7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 w:rsidR="00A228A7">
              <w:rPr>
                <w:color w:val="000000"/>
                <w:lang w:val="uk-UA"/>
              </w:rPr>
              <w:t>_____________________</w:t>
            </w:r>
            <w:r>
              <w:rPr>
                <w:color w:val="000000"/>
                <w:lang w:val="uk-UA"/>
              </w:rPr>
              <w:t>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660359" w:rsidRDefault="00660359" w:rsidP="00A228A7">
            <w:pPr>
              <w:jc w:val="both"/>
              <w:rPr>
                <w:sz w:val="32"/>
                <w:lang w:val="uk-UA"/>
              </w:rPr>
            </w:pPr>
          </w:p>
          <w:p w:rsidR="00600EC5" w:rsidRPr="00A228A7" w:rsidRDefault="00600EC5" w:rsidP="00A228A7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600EC5">
              <w:rPr>
                <w:sz w:val="32"/>
                <w:lang w:val="uk-UA"/>
              </w:rPr>
              <w:t>м.п</w:t>
            </w:r>
            <w:proofErr w:type="spellEnd"/>
            <w:r w:rsidRPr="00600EC5">
              <w:rPr>
                <w:sz w:val="32"/>
                <w:lang w:val="uk-UA"/>
              </w:rPr>
              <w:t xml:space="preserve">.       </w:t>
            </w:r>
            <w:r w:rsidRPr="00600EC5">
              <w:rPr>
                <w:lang w:val="uk-UA"/>
              </w:rPr>
              <w:t xml:space="preserve">        </w:t>
            </w:r>
            <w:r w:rsidR="00660359"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600EC5" w:rsidRPr="00860536" w:rsidRDefault="00600EC5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  <w:tr w:rsidR="00C82752" w:rsidRPr="00DE50DB" w:rsidTr="00C82752">
        <w:tblPrEx>
          <w:tblLook w:val="01E0"/>
        </w:tblPrEx>
        <w:tc>
          <w:tcPr>
            <w:tcW w:w="9588" w:type="dxa"/>
            <w:gridSpan w:val="2"/>
          </w:tcPr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ПОВІСТКА ПРО ВИКЛИК</w:t>
            </w: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D24C0E" w:rsidRDefault="00D24C0E" w:rsidP="00D24C0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Беспечний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Юрій Володимирович, </w:t>
            </w:r>
            <w:r>
              <w:rPr>
                <w:b/>
                <w:sz w:val="28"/>
                <w:szCs w:val="28"/>
                <w:lang w:val="uk-UA"/>
              </w:rPr>
              <w:t>05</w:t>
            </w:r>
            <w:r w:rsidRPr="003023B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02</w:t>
            </w:r>
            <w:r w:rsidRPr="003023BE">
              <w:rPr>
                <w:b/>
                <w:sz w:val="28"/>
                <w:szCs w:val="28"/>
              </w:rPr>
              <w:t>.197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>.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>
              <w:rPr>
                <w:sz w:val="28"/>
                <w:szCs w:val="28"/>
                <w:lang w:val="uk-UA"/>
              </w:rPr>
              <w:t>м. Луганськ Луганської області</w:t>
            </w:r>
            <w:r w:rsidRPr="006D3C06">
              <w:rPr>
                <w:sz w:val="28"/>
                <w:szCs w:val="28"/>
                <w:lang w:val="uk-UA"/>
              </w:rPr>
              <w:t>, кв</w:t>
            </w:r>
            <w:r>
              <w:rPr>
                <w:sz w:val="28"/>
                <w:szCs w:val="28"/>
                <w:lang w:val="uk-UA"/>
              </w:rPr>
              <w:t>артал</w:t>
            </w:r>
            <w:r w:rsidRPr="006D3C06">
              <w:rPr>
                <w:sz w:val="28"/>
                <w:szCs w:val="28"/>
                <w:lang w:val="uk-UA"/>
              </w:rPr>
              <w:t xml:space="preserve"> Комарова, буд. 13, кв. 9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Pr="002C01C3">
              <w:rPr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305DE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305DE">
              <w:rPr>
                <w:b/>
                <w:color w:val="000000"/>
                <w:sz w:val="28"/>
                <w:szCs w:val="28"/>
                <w:lang w:val="uk-UA"/>
              </w:rPr>
              <w:t>лютого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2022 року о 10 год. 00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вул. Героїв Майдану, 19,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 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Омельченка В.В.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№ 220192400000000</w:t>
            </w:r>
            <w:r>
              <w:rPr>
                <w:color w:val="000000"/>
                <w:sz w:val="28"/>
                <w:szCs w:val="28"/>
                <w:lang w:val="uk-UA"/>
              </w:rPr>
              <w:t>40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Омельченко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C82752" w:rsidRPr="00660359" w:rsidRDefault="00C82752" w:rsidP="00C82752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C82752" w:rsidRDefault="00C82752" w:rsidP="00C827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  <w:gridCol w:w="360"/>
      </w:tblGrid>
      <w:tr w:rsidR="00C82752" w:rsidRPr="00860536" w:rsidTr="00C82752">
        <w:trPr>
          <w:gridAfter w:val="1"/>
          <w:wAfter w:w="360" w:type="dxa"/>
          <w:trHeight w:val="14233"/>
        </w:trPr>
        <w:tc>
          <w:tcPr>
            <w:tcW w:w="9228" w:type="dxa"/>
            <w:shd w:val="clear" w:color="auto" w:fill="auto"/>
          </w:tcPr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>
              <w:rPr>
                <w:color w:val="000000"/>
                <w:lang w:val="uk-UA"/>
              </w:rPr>
              <w:t>_________________________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</w:p>
          <w:p w:rsidR="00C82752" w:rsidRPr="00A228A7" w:rsidRDefault="00C82752" w:rsidP="00C82752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600EC5">
              <w:rPr>
                <w:sz w:val="32"/>
                <w:lang w:val="uk-UA"/>
              </w:rPr>
              <w:t>м.п</w:t>
            </w:r>
            <w:proofErr w:type="spellEnd"/>
            <w:r w:rsidRPr="00600EC5">
              <w:rPr>
                <w:sz w:val="32"/>
                <w:lang w:val="uk-UA"/>
              </w:rPr>
              <w:t xml:space="preserve">.       </w:t>
            </w:r>
            <w:r w:rsidRPr="00600EC5"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C82752" w:rsidRPr="00860536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  <w:tr w:rsidR="00C82752" w:rsidRPr="00DE50DB" w:rsidTr="00C82752">
        <w:tblPrEx>
          <w:tblLook w:val="01E0"/>
        </w:tblPrEx>
        <w:tc>
          <w:tcPr>
            <w:tcW w:w="9588" w:type="dxa"/>
            <w:gridSpan w:val="2"/>
          </w:tcPr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ПОВІСТКА ПРО ВИКЛИК</w:t>
            </w: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C82752" w:rsidRDefault="00D24C0E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Беспечний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Юрій Володимирович, </w:t>
            </w:r>
            <w:r>
              <w:rPr>
                <w:b/>
                <w:sz w:val="28"/>
                <w:szCs w:val="28"/>
                <w:lang w:val="uk-UA"/>
              </w:rPr>
              <w:t>05</w:t>
            </w:r>
            <w:r w:rsidRPr="003023B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02</w:t>
            </w:r>
            <w:r w:rsidRPr="003023BE">
              <w:rPr>
                <w:b/>
                <w:sz w:val="28"/>
                <w:szCs w:val="28"/>
              </w:rPr>
              <w:t>.197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>.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>
              <w:rPr>
                <w:sz w:val="28"/>
                <w:szCs w:val="28"/>
                <w:lang w:val="uk-UA"/>
              </w:rPr>
              <w:t>м. Луганськ Луганської області</w:t>
            </w:r>
            <w:r w:rsidRPr="006D3C06">
              <w:rPr>
                <w:sz w:val="28"/>
                <w:szCs w:val="28"/>
                <w:lang w:val="uk-UA"/>
              </w:rPr>
              <w:t>, кв</w:t>
            </w:r>
            <w:r>
              <w:rPr>
                <w:sz w:val="28"/>
                <w:szCs w:val="28"/>
                <w:lang w:val="uk-UA"/>
              </w:rPr>
              <w:t>артал</w:t>
            </w:r>
            <w:r w:rsidRPr="006D3C06">
              <w:rPr>
                <w:sz w:val="28"/>
                <w:szCs w:val="28"/>
                <w:lang w:val="uk-UA"/>
              </w:rPr>
              <w:t xml:space="preserve"> Комарова, буд. 13, кв. 9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Pr="002C01C3">
              <w:rPr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305DE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305DE">
              <w:rPr>
                <w:b/>
                <w:color w:val="000000"/>
                <w:sz w:val="28"/>
                <w:szCs w:val="28"/>
                <w:lang w:val="uk-UA"/>
              </w:rPr>
              <w:t>лютого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2022 року о 10 год. 00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вул. Героїв Майдану, 19,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 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Омельченка В.В.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№ 220192400000000</w:t>
            </w:r>
            <w:r>
              <w:rPr>
                <w:color w:val="000000"/>
                <w:sz w:val="28"/>
                <w:szCs w:val="28"/>
                <w:lang w:val="uk-UA"/>
              </w:rPr>
              <w:t>40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Омельченко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C82752" w:rsidRPr="00660359" w:rsidRDefault="00C82752" w:rsidP="00C82752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C82752" w:rsidRDefault="00C82752" w:rsidP="00C82752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</w:tblGrid>
      <w:tr w:rsidR="00C82752" w:rsidRPr="00860536" w:rsidTr="00C82752">
        <w:trPr>
          <w:trHeight w:val="14233"/>
        </w:trPr>
        <w:tc>
          <w:tcPr>
            <w:tcW w:w="9228" w:type="dxa"/>
            <w:shd w:val="clear" w:color="auto" w:fill="auto"/>
          </w:tcPr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>
              <w:rPr>
                <w:color w:val="000000"/>
                <w:lang w:val="uk-UA"/>
              </w:rPr>
              <w:t>_________________________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</w:p>
          <w:p w:rsidR="00C82752" w:rsidRPr="00A228A7" w:rsidRDefault="00C82752" w:rsidP="00C82752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600EC5">
              <w:rPr>
                <w:sz w:val="32"/>
                <w:lang w:val="uk-UA"/>
              </w:rPr>
              <w:t>м.п</w:t>
            </w:r>
            <w:proofErr w:type="spellEnd"/>
            <w:r w:rsidRPr="00600EC5">
              <w:rPr>
                <w:sz w:val="32"/>
                <w:lang w:val="uk-UA"/>
              </w:rPr>
              <w:t xml:space="preserve">.       </w:t>
            </w:r>
            <w:r w:rsidRPr="00600EC5"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C82752" w:rsidRPr="00860536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</w:tbl>
    <w:p w:rsidR="00660359" w:rsidRPr="00517A97" w:rsidRDefault="00660359" w:rsidP="00D24C0E">
      <w:pPr>
        <w:rPr>
          <w:lang w:val="uk-UA"/>
        </w:rPr>
      </w:pPr>
    </w:p>
    <w:sectPr w:rsidR="00660359" w:rsidRPr="00517A97" w:rsidSect="0066035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5DE" w:rsidRDefault="008305DE">
      <w:r>
        <w:separator/>
      </w:r>
    </w:p>
  </w:endnote>
  <w:endnote w:type="continuationSeparator" w:id="1">
    <w:p w:rsidR="008305DE" w:rsidRDefault="00830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5DE" w:rsidRDefault="008305DE">
      <w:r>
        <w:separator/>
      </w:r>
    </w:p>
  </w:footnote>
  <w:footnote w:type="continuationSeparator" w:id="1">
    <w:p w:rsidR="008305DE" w:rsidRDefault="00830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5DE" w:rsidRDefault="008305DE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05DE" w:rsidRDefault="008305DE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5DE" w:rsidRPr="00D05235" w:rsidRDefault="008305DE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</w:p>
  <w:p w:rsidR="008305DE" w:rsidRPr="00D05235" w:rsidRDefault="008305DE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D07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333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5DE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C0E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rsid w:val="00FB17A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2139</Words>
  <Characters>15603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17707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SamLab.ws</cp:lastModifiedBy>
  <cp:revision>6</cp:revision>
  <cp:lastPrinted>2022-01-19T11:37:00Z</cp:lastPrinted>
  <dcterms:created xsi:type="dcterms:W3CDTF">2021-08-31T13:50:00Z</dcterms:created>
  <dcterms:modified xsi:type="dcterms:W3CDTF">2022-01-19T13:48:00Z</dcterms:modified>
</cp:coreProperties>
</file>