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CC90A" w14:textId="77777777" w:rsidR="00AC4FD2" w:rsidRDefault="00000000">
      <w:pPr>
        <w:jc w:val="center"/>
        <w:rPr>
          <w:rFonts w:ascii="Times New Roman" w:eastAsia="Aptos" w:hAnsi="Times New Roman"/>
          <w:b/>
          <w:bCs/>
          <w:sz w:val="28"/>
          <w:szCs w:val="28"/>
        </w:rPr>
      </w:pPr>
      <w:r>
        <w:rPr>
          <w:rFonts w:ascii="Times New Roman" w:eastAsia="Aptos" w:hAnsi="Times New Roman"/>
          <w:b/>
          <w:bCs/>
          <w:sz w:val="28"/>
          <w:szCs w:val="28"/>
        </w:rPr>
        <w:t>Інформація</w:t>
      </w:r>
    </w:p>
    <w:p w14:paraId="0BF96452" w14:textId="77777777" w:rsidR="00AC4FD2" w:rsidRDefault="00AC4FD2">
      <w:pPr>
        <w:jc w:val="center"/>
        <w:rPr>
          <w:rFonts w:ascii="Times New Roman" w:eastAsia="Aptos" w:hAnsi="Times New Roman"/>
          <w:b/>
          <w:bCs/>
          <w:sz w:val="28"/>
          <w:szCs w:val="28"/>
        </w:rPr>
      </w:pPr>
    </w:p>
    <w:p w14:paraId="798A4F8A" w14:textId="77777777" w:rsidR="00AC4FD2" w:rsidRDefault="00000000">
      <w:pPr>
        <w:jc w:val="center"/>
        <w:rPr>
          <w:rFonts w:ascii="Times New Roman" w:eastAsia="Aptos" w:hAnsi="Times New Roman"/>
          <w:b/>
          <w:bCs/>
          <w:sz w:val="28"/>
          <w:szCs w:val="28"/>
        </w:rPr>
      </w:pPr>
      <w:r>
        <w:rPr>
          <w:rFonts w:ascii="Times New Roman" w:eastAsia="Aptos" w:hAnsi="Times New Roman"/>
          <w:b/>
          <w:bCs/>
          <w:sz w:val="28"/>
          <w:szCs w:val="28"/>
        </w:rPr>
        <w:t>щодо 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веб-сайті СБУ</w:t>
      </w:r>
    </w:p>
    <w:p w14:paraId="4A1A5259" w14:textId="77777777" w:rsidR="00AC4FD2" w:rsidRDefault="00000000">
      <w:pPr>
        <w:jc w:val="center"/>
      </w:pPr>
      <w:r>
        <w:rPr>
          <w:rFonts w:ascii="Times New Roman" w:eastAsia="Aptos" w:hAnsi="Times New Roman"/>
        </w:rPr>
        <w:t>(відповідно до пункту 4</w:t>
      </w:r>
      <w:r>
        <w:rPr>
          <w:rFonts w:ascii="Times New Roman" w:eastAsia="Times New Roman" w:hAnsi="Times New Roman" w:cs="Times New Roman"/>
        </w:rPr>
        <w:t>¹</w:t>
      </w:r>
      <w:r>
        <w:rPr>
          <w:rFonts w:ascii="Times New Roman" w:eastAsia="Aptos" w:hAnsi="Times New Roman"/>
        </w:rPr>
        <w:t xml:space="preserve"> постанови КМУ від 11.10.2016 №710 «Про ефективне використання державних коштів» (зі змінами))</w:t>
      </w:r>
    </w:p>
    <w:tbl>
      <w:tblPr>
        <w:tblW w:w="5000" w:type="pct"/>
        <w:jc w:val="center"/>
        <w:tblLayout w:type="fixed"/>
        <w:tblLook w:val="0000" w:firstRow="0" w:lastRow="0" w:firstColumn="0" w:lastColumn="0" w:noHBand="0" w:noVBand="0"/>
      </w:tblPr>
      <w:tblGrid>
        <w:gridCol w:w="561"/>
        <w:gridCol w:w="3253"/>
        <w:gridCol w:w="5814"/>
      </w:tblGrid>
      <w:tr w:rsidR="00AC4FD2" w14:paraId="78712E0D" w14:textId="77777777">
        <w:trPr>
          <w:jc w:val="center"/>
        </w:trPr>
        <w:tc>
          <w:tcPr>
            <w:tcW w:w="562" w:type="dxa"/>
            <w:tcBorders>
              <w:top w:val="single" w:sz="4" w:space="0" w:color="000000"/>
              <w:left w:val="single" w:sz="4" w:space="0" w:color="000000"/>
              <w:bottom w:val="single" w:sz="4" w:space="0" w:color="000000"/>
            </w:tcBorders>
            <w:vAlign w:val="center"/>
          </w:tcPr>
          <w:p w14:paraId="6ED60BDA"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1</w:t>
            </w:r>
          </w:p>
        </w:tc>
        <w:tc>
          <w:tcPr>
            <w:tcW w:w="3256" w:type="dxa"/>
            <w:tcBorders>
              <w:top w:val="single" w:sz="4" w:space="0" w:color="000000"/>
              <w:left w:val="single" w:sz="4" w:space="0" w:color="000000"/>
              <w:bottom w:val="single" w:sz="4" w:space="0" w:color="000000"/>
            </w:tcBorders>
            <w:vAlign w:val="center"/>
          </w:tcPr>
          <w:p w14:paraId="24919D23"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Найменування замовника</w:t>
            </w:r>
          </w:p>
        </w:tc>
        <w:tc>
          <w:tcPr>
            <w:tcW w:w="5820" w:type="dxa"/>
            <w:tcBorders>
              <w:top w:val="single" w:sz="4" w:space="0" w:color="000000"/>
              <w:left w:val="single" w:sz="4" w:space="0" w:color="000000"/>
              <w:bottom w:val="single" w:sz="4" w:space="0" w:color="000000"/>
              <w:right w:val="single" w:sz="4" w:space="0" w:color="000000"/>
            </w:tcBorders>
            <w:vAlign w:val="center"/>
          </w:tcPr>
          <w:p w14:paraId="014613C5"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Санаторій «Трускавець» Служби безпеки України</w:t>
            </w:r>
          </w:p>
        </w:tc>
      </w:tr>
      <w:tr w:rsidR="00AC4FD2" w14:paraId="239353BC" w14:textId="77777777">
        <w:trPr>
          <w:jc w:val="center"/>
        </w:trPr>
        <w:tc>
          <w:tcPr>
            <w:tcW w:w="562" w:type="dxa"/>
            <w:tcBorders>
              <w:left w:val="single" w:sz="4" w:space="0" w:color="000000"/>
              <w:bottom w:val="single" w:sz="4" w:space="0" w:color="000000"/>
            </w:tcBorders>
            <w:vAlign w:val="center"/>
          </w:tcPr>
          <w:p w14:paraId="29009F7D"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2</w:t>
            </w:r>
          </w:p>
        </w:tc>
        <w:tc>
          <w:tcPr>
            <w:tcW w:w="3256" w:type="dxa"/>
            <w:tcBorders>
              <w:left w:val="single" w:sz="4" w:space="0" w:color="000000"/>
              <w:bottom w:val="single" w:sz="4" w:space="0" w:color="000000"/>
            </w:tcBorders>
            <w:vAlign w:val="center"/>
          </w:tcPr>
          <w:p w14:paraId="17F339AE"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(за наявності)</w:t>
            </w:r>
          </w:p>
        </w:tc>
        <w:tc>
          <w:tcPr>
            <w:tcW w:w="5820" w:type="dxa"/>
            <w:tcBorders>
              <w:left w:val="single" w:sz="4" w:space="0" w:color="000000"/>
              <w:bottom w:val="single" w:sz="4" w:space="0" w:color="000000"/>
              <w:right w:val="single" w:sz="4" w:space="0" w:color="000000"/>
            </w:tcBorders>
            <w:vAlign w:val="center"/>
          </w:tcPr>
          <w:p w14:paraId="68F895AF" w14:textId="77777777" w:rsidR="00AC4FD2" w:rsidRDefault="00000000">
            <w:pPr>
              <w:jc w:val="both"/>
              <w:rPr>
                <w:rFonts w:ascii="Aptos" w:eastAsia="Aptos" w:hAnsi="Aptos" w:cs="Times New Roman"/>
                <w:lang w:bidi="ar-SA"/>
              </w:rPr>
            </w:pPr>
            <w:r>
              <w:rPr>
                <w:rFonts w:ascii="Times New Roman" w:eastAsia="Aptos" w:hAnsi="Times New Roman" w:cs="Times New Roman"/>
                <w:color w:val="000000"/>
                <w:sz w:val="28"/>
                <w:szCs w:val="28"/>
                <w:lang w:bidi="ar-SA"/>
              </w:rPr>
              <w:t xml:space="preserve">Код ДК 021:2015: 50410000-2 </w:t>
            </w:r>
            <w:r>
              <w:rPr>
                <w:rFonts w:ascii="Times New Roman" w:eastAsia="Times New Roman" w:hAnsi="Times New Roman" w:cs="Times New Roman"/>
                <w:color w:val="000000"/>
                <w:spacing w:val="2"/>
                <w:sz w:val="28"/>
                <w:szCs w:val="28"/>
                <w:shd w:val="clear" w:color="auto" w:fill="FFFFFF"/>
                <w:lang w:eastAsia="ru-RU" w:bidi="ar-SA"/>
              </w:rPr>
              <w:t>Послуги з ремонту і технічного обслуговування вимірювальних, випробувальних і контрольних приладів</w:t>
            </w:r>
            <w:r>
              <w:rPr>
                <w:rFonts w:ascii="Times New Roman" w:eastAsia="Times New Roman" w:hAnsi="Times New Roman" w:cs="Times New Roman"/>
                <w:color w:val="000000"/>
                <w:sz w:val="28"/>
                <w:szCs w:val="28"/>
                <w:lang w:eastAsia="uk-UA" w:bidi="ar-SA"/>
              </w:rPr>
              <w:t>» (</w:t>
            </w:r>
            <w:r>
              <w:rPr>
                <w:rStyle w:val="ad"/>
                <w:rFonts w:ascii="Times New Roman" w:eastAsia="Times New Roman" w:hAnsi="Times New Roman"/>
                <w:b w:val="0"/>
                <w:color w:val="000000"/>
                <w:sz w:val="28"/>
                <w:szCs w:val="28"/>
                <w:shd w:val="clear" w:color="auto" w:fill="FFFFFF"/>
                <w:lang w:eastAsia="ru-RU" w:bidi="ar-SA"/>
              </w:rPr>
              <w:t>Послуги з повірки законодавчо регульованих засобів вимірювальної техніки (водяних лічильників холодної води</w:t>
            </w:r>
            <w:r>
              <w:rPr>
                <w:rFonts w:ascii="Times New Roman" w:eastAsia="Times New Roman" w:hAnsi="Times New Roman" w:cs="Times New Roman"/>
                <w:color w:val="000000"/>
                <w:sz w:val="28"/>
                <w:szCs w:val="28"/>
                <w:lang w:eastAsia="uk-UA" w:bidi="ar-SA"/>
              </w:rPr>
              <w:t>)</w:t>
            </w:r>
          </w:p>
        </w:tc>
      </w:tr>
      <w:tr w:rsidR="00AC4FD2" w14:paraId="6A78677A" w14:textId="77777777">
        <w:trPr>
          <w:trHeight w:val="464"/>
          <w:jc w:val="center"/>
        </w:trPr>
        <w:tc>
          <w:tcPr>
            <w:tcW w:w="562" w:type="dxa"/>
            <w:tcBorders>
              <w:left w:val="single" w:sz="4" w:space="0" w:color="000000"/>
              <w:bottom w:val="single" w:sz="4" w:space="0" w:color="000000"/>
            </w:tcBorders>
            <w:vAlign w:val="center"/>
          </w:tcPr>
          <w:p w14:paraId="6600221F"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3</w:t>
            </w:r>
          </w:p>
        </w:tc>
        <w:tc>
          <w:tcPr>
            <w:tcW w:w="3256" w:type="dxa"/>
            <w:tcBorders>
              <w:left w:val="single" w:sz="4" w:space="0" w:color="000000"/>
              <w:bottom w:val="single" w:sz="4" w:space="0" w:color="000000"/>
            </w:tcBorders>
            <w:vAlign w:val="center"/>
          </w:tcPr>
          <w:p w14:paraId="2E29DC66"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Ідентифікатор закупівлі</w:t>
            </w:r>
          </w:p>
        </w:tc>
        <w:tc>
          <w:tcPr>
            <w:tcW w:w="5820" w:type="dxa"/>
            <w:tcBorders>
              <w:left w:val="single" w:sz="4" w:space="0" w:color="000000"/>
              <w:bottom w:val="single" w:sz="4" w:space="0" w:color="000000"/>
              <w:right w:val="single" w:sz="4" w:space="0" w:color="000000"/>
            </w:tcBorders>
            <w:vAlign w:val="center"/>
          </w:tcPr>
          <w:p w14:paraId="16F9066E" w14:textId="77777777" w:rsidR="00AC4FD2" w:rsidRDefault="00000000">
            <w:pPr>
              <w:rPr>
                <w:rFonts w:ascii="Times New Roman" w:eastAsia="Aptos" w:hAnsi="Times New Roman" w:cs="Times New Roman"/>
                <w:sz w:val="28"/>
                <w:szCs w:val="28"/>
                <w:lang w:bidi="ar-SA"/>
              </w:rPr>
            </w:pPr>
            <w:r>
              <w:rPr>
                <w:rFonts w:ascii="Times New Roman" w:eastAsia="Aptos" w:hAnsi="Times New Roman" w:cs="Times New Roman"/>
                <w:sz w:val="28"/>
                <w:szCs w:val="28"/>
                <w:lang w:bidi="ar-SA"/>
              </w:rPr>
              <w:t>UA-2026-04-21-011262-a</w:t>
            </w:r>
          </w:p>
        </w:tc>
      </w:tr>
      <w:tr w:rsidR="00AC4FD2" w14:paraId="58616294" w14:textId="77777777">
        <w:trPr>
          <w:trHeight w:val="735"/>
          <w:jc w:val="center"/>
        </w:trPr>
        <w:tc>
          <w:tcPr>
            <w:tcW w:w="562" w:type="dxa"/>
            <w:tcBorders>
              <w:left w:val="single" w:sz="4" w:space="0" w:color="000000"/>
              <w:bottom w:val="single" w:sz="4" w:space="0" w:color="000000"/>
            </w:tcBorders>
            <w:vAlign w:val="center"/>
          </w:tcPr>
          <w:p w14:paraId="28269208"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4</w:t>
            </w:r>
          </w:p>
        </w:tc>
        <w:tc>
          <w:tcPr>
            <w:tcW w:w="3256" w:type="dxa"/>
            <w:tcBorders>
              <w:left w:val="single" w:sz="4" w:space="0" w:color="000000"/>
              <w:bottom w:val="single" w:sz="4" w:space="0" w:color="000000"/>
            </w:tcBorders>
            <w:vAlign w:val="center"/>
          </w:tcPr>
          <w:p w14:paraId="6ABD0728"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Очікувана вартість предмета закупівлі</w:t>
            </w:r>
          </w:p>
        </w:tc>
        <w:tc>
          <w:tcPr>
            <w:tcW w:w="5820" w:type="dxa"/>
            <w:tcBorders>
              <w:left w:val="single" w:sz="4" w:space="0" w:color="000000"/>
              <w:bottom w:val="single" w:sz="4" w:space="0" w:color="000000"/>
              <w:right w:val="single" w:sz="4" w:space="0" w:color="000000"/>
            </w:tcBorders>
            <w:vAlign w:val="center"/>
          </w:tcPr>
          <w:p w14:paraId="70C889F5" w14:textId="77777777" w:rsidR="00AC4FD2" w:rsidRDefault="00000000">
            <w:pPr>
              <w:rPr>
                <w:rFonts w:ascii="Aptos" w:eastAsia="Aptos" w:hAnsi="Aptos" w:cs="Times New Roman"/>
                <w:lang w:bidi="ar-SA"/>
              </w:rPr>
            </w:pPr>
            <w:r>
              <w:rPr>
                <w:rFonts w:ascii="Times New Roman" w:eastAsia="Aptos" w:hAnsi="Times New Roman" w:cs="Times New Roman"/>
                <w:b/>
                <w:bCs/>
                <w:sz w:val="28"/>
                <w:szCs w:val="28"/>
                <w:lang w:eastAsia="uk-UA" w:bidi="ar-SA"/>
              </w:rPr>
              <w:t xml:space="preserve">1010,75 </w:t>
            </w:r>
            <w:r>
              <w:rPr>
                <w:rFonts w:ascii="Times New Roman" w:eastAsia="Times New Roman" w:hAnsi="Times New Roman" w:cs="Times New Roman"/>
                <w:b/>
                <w:bCs/>
                <w:sz w:val="28"/>
                <w:szCs w:val="28"/>
                <w:lang w:eastAsia="uk-UA" w:bidi="ar-SA"/>
              </w:rPr>
              <w:t>грн</w:t>
            </w:r>
            <w:r>
              <w:rPr>
                <w:rFonts w:ascii="Times New Roman" w:eastAsia="Times New Roman" w:hAnsi="Times New Roman" w:cs="Times New Roman"/>
                <w:sz w:val="28"/>
                <w:szCs w:val="28"/>
                <w:lang w:eastAsia="uk-UA" w:bidi="ar-SA"/>
              </w:rPr>
              <w:t xml:space="preserve"> з урахуванням ПДВ.</w:t>
            </w:r>
          </w:p>
        </w:tc>
      </w:tr>
      <w:tr w:rsidR="00AC4FD2" w14:paraId="1C8847D3" w14:textId="77777777">
        <w:trPr>
          <w:trHeight w:val="3390"/>
          <w:jc w:val="center"/>
        </w:trPr>
        <w:tc>
          <w:tcPr>
            <w:tcW w:w="562" w:type="dxa"/>
            <w:tcBorders>
              <w:left w:val="single" w:sz="4" w:space="0" w:color="000000"/>
              <w:bottom w:val="single" w:sz="4" w:space="0" w:color="000000"/>
            </w:tcBorders>
            <w:vAlign w:val="center"/>
          </w:tcPr>
          <w:p w14:paraId="2B0FBB3B"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5</w:t>
            </w:r>
          </w:p>
        </w:tc>
        <w:tc>
          <w:tcPr>
            <w:tcW w:w="3256" w:type="dxa"/>
            <w:tcBorders>
              <w:left w:val="single" w:sz="4" w:space="0" w:color="000000"/>
              <w:bottom w:val="single" w:sz="4" w:space="0" w:color="000000"/>
            </w:tcBorders>
            <w:vAlign w:val="center"/>
          </w:tcPr>
          <w:p w14:paraId="158E9CC1"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Обґрунтування технічних та якісних характеристик предмета закупівлі</w:t>
            </w:r>
          </w:p>
        </w:tc>
        <w:tc>
          <w:tcPr>
            <w:tcW w:w="5820" w:type="dxa"/>
            <w:tcBorders>
              <w:left w:val="single" w:sz="4" w:space="0" w:color="000000"/>
              <w:bottom w:val="single" w:sz="4" w:space="0" w:color="000000"/>
              <w:right w:val="single" w:sz="4" w:space="0" w:color="000000"/>
            </w:tcBorders>
            <w:vAlign w:val="center"/>
          </w:tcPr>
          <w:p w14:paraId="1B20552F" w14:textId="77777777" w:rsidR="00AC4FD2" w:rsidRDefault="00000000">
            <w:pPr>
              <w:pStyle w:val="af1"/>
              <w:spacing w:after="0" w:line="240" w:lineRule="auto"/>
              <w:jc w:val="both"/>
              <w:rPr>
                <w:rFonts w:ascii="Times New Roman" w:hAnsi="Times New Roman"/>
                <w:sz w:val="28"/>
                <w:szCs w:val="28"/>
              </w:rPr>
            </w:pPr>
            <w:r>
              <w:rPr>
                <w:rFonts w:ascii="Times New Roman" w:hAnsi="Times New Roman"/>
                <w:sz w:val="28"/>
                <w:szCs w:val="28"/>
              </w:rPr>
              <w:t>Якість послуг повинна відповідати вимогам чинного законодавства України у сфері метрології, зокрема Закону України «Про метрологію та метрологічну діяльність» та наказу Міністерства економічного розвитку і торгівлі України №193 від 08.02.2016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а також іншим нормативно-правовим актам, стандартам, які регулюють надання відповідних послуг.</w:t>
            </w:r>
          </w:p>
          <w:p w14:paraId="4270A0F9" w14:textId="77777777" w:rsidR="00AC4FD2" w:rsidRDefault="00000000">
            <w:pPr>
              <w:pStyle w:val="af1"/>
              <w:spacing w:after="0" w:line="240" w:lineRule="auto"/>
              <w:jc w:val="both"/>
              <w:rPr>
                <w:rFonts w:ascii="Times New Roman" w:hAnsi="Times New Roman"/>
                <w:sz w:val="28"/>
                <w:szCs w:val="28"/>
              </w:rPr>
            </w:pPr>
            <w:r>
              <w:rPr>
                <w:rFonts w:ascii="Times New Roman" w:hAnsi="Times New Roman"/>
                <w:sz w:val="28"/>
                <w:szCs w:val="28"/>
              </w:rPr>
              <w:t>Послуги повинні надаватися якісно, у повному обсязі, з дотриманням вимог охорони праці, техніки безпеки та правил експлуатації обладнання, із застосуванням сертифікованого обладнання та із залученням кваліфікованого персоналу, який має відповідні знання, досвід та повноваження на проведення повірки засобів вимірювальної техніки.</w:t>
            </w:r>
          </w:p>
          <w:p w14:paraId="75DC536F" w14:textId="77777777" w:rsidR="00AC4FD2" w:rsidRDefault="00000000">
            <w:pPr>
              <w:pStyle w:val="af1"/>
              <w:spacing w:after="0" w:line="240" w:lineRule="auto"/>
              <w:jc w:val="both"/>
              <w:rPr>
                <w:rFonts w:ascii="Times New Roman" w:hAnsi="Times New Roman"/>
                <w:sz w:val="28"/>
                <w:szCs w:val="28"/>
              </w:rPr>
            </w:pPr>
            <w:r>
              <w:rPr>
                <w:rFonts w:ascii="Times New Roman" w:hAnsi="Times New Roman"/>
                <w:sz w:val="28"/>
                <w:szCs w:val="28"/>
              </w:rPr>
              <w:t xml:space="preserve">Технічні характеристики предмета закупівлі визначені з урахуванням фактичної потреби </w:t>
            </w:r>
            <w:r>
              <w:rPr>
                <w:rFonts w:ascii="Times New Roman" w:hAnsi="Times New Roman"/>
                <w:sz w:val="28"/>
                <w:szCs w:val="28"/>
              </w:rPr>
              <w:lastRenderedPageBreak/>
              <w:t>Замовника та включають надання послуг з повірки водяних лічильників холодної води, що перебувають в експлуатації (зокрема WSH-50 та TAKT-20), без їх заміни або модифікації.</w:t>
            </w:r>
          </w:p>
          <w:p w14:paraId="2079C781" w14:textId="77777777" w:rsidR="00AC4FD2" w:rsidRDefault="00000000">
            <w:pPr>
              <w:pStyle w:val="af1"/>
              <w:spacing w:after="0" w:line="240" w:lineRule="auto"/>
              <w:jc w:val="both"/>
              <w:rPr>
                <w:rFonts w:ascii="Times New Roman" w:hAnsi="Times New Roman"/>
                <w:sz w:val="28"/>
                <w:szCs w:val="28"/>
              </w:rPr>
            </w:pPr>
            <w:r>
              <w:rPr>
                <w:rFonts w:ascii="Times New Roman" w:hAnsi="Times New Roman"/>
                <w:sz w:val="28"/>
                <w:szCs w:val="28"/>
              </w:rPr>
              <w:t>Результати повірки повинні бути оформлені відповідно до вимог чинного законодавства із видачею свідоцтва про повірку або довідки про непридатність засобу вимірювальної техніки.</w:t>
            </w:r>
          </w:p>
          <w:p w14:paraId="7AE77534" w14:textId="77777777" w:rsidR="00AC4FD2" w:rsidRDefault="00000000">
            <w:pPr>
              <w:pStyle w:val="af1"/>
              <w:spacing w:after="0" w:line="240" w:lineRule="auto"/>
              <w:jc w:val="both"/>
              <w:rPr>
                <w:rFonts w:ascii="Times New Roman" w:hAnsi="Times New Roman"/>
                <w:sz w:val="28"/>
                <w:szCs w:val="28"/>
              </w:rPr>
            </w:pPr>
            <w:r>
              <w:rPr>
                <w:rFonts w:ascii="Times New Roman" w:hAnsi="Times New Roman"/>
                <w:sz w:val="28"/>
                <w:szCs w:val="28"/>
              </w:rPr>
              <w:t>Технічні та якісні характеристики предмета закупівлі сформовані з дотриманням принципів здійснення публічних закупівель, зокрема добросовісної конкуренції та недискримінації учасників.</w:t>
            </w:r>
          </w:p>
        </w:tc>
      </w:tr>
      <w:tr w:rsidR="00AC4FD2" w14:paraId="1E00C2AB" w14:textId="77777777">
        <w:trPr>
          <w:trHeight w:val="795"/>
          <w:jc w:val="center"/>
        </w:trPr>
        <w:tc>
          <w:tcPr>
            <w:tcW w:w="562" w:type="dxa"/>
            <w:tcBorders>
              <w:left w:val="single" w:sz="4" w:space="0" w:color="000000"/>
              <w:bottom w:val="single" w:sz="4" w:space="0" w:color="000000"/>
            </w:tcBorders>
            <w:vAlign w:val="center"/>
          </w:tcPr>
          <w:p w14:paraId="33382DEA"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lastRenderedPageBreak/>
              <w:t>6</w:t>
            </w:r>
          </w:p>
        </w:tc>
        <w:tc>
          <w:tcPr>
            <w:tcW w:w="3256" w:type="dxa"/>
            <w:tcBorders>
              <w:left w:val="single" w:sz="4" w:space="0" w:color="000000"/>
              <w:bottom w:val="single" w:sz="4" w:space="0" w:color="000000"/>
            </w:tcBorders>
            <w:vAlign w:val="center"/>
          </w:tcPr>
          <w:p w14:paraId="0D462FB2" w14:textId="77777777" w:rsidR="00AC4FD2" w:rsidRDefault="00000000">
            <w:pPr>
              <w:rPr>
                <w:rFonts w:ascii="Times New Roman" w:hAnsi="Times New Roman"/>
              </w:rPr>
            </w:pPr>
            <w:r>
              <w:rPr>
                <w:rFonts w:ascii="Times New Roman" w:eastAsia="Aptos" w:hAnsi="Times New Roman" w:cs="Times New Roman"/>
                <w:sz w:val="28"/>
                <w:szCs w:val="28"/>
                <w:lang w:bidi="ar-SA"/>
              </w:rPr>
              <w:t>Обгрунтування розміру бюджетного призначення</w:t>
            </w:r>
          </w:p>
        </w:tc>
        <w:tc>
          <w:tcPr>
            <w:tcW w:w="5820" w:type="dxa"/>
            <w:tcBorders>
              <w:left w:val="single" w:sz="4" w:space="0" w:color="000000"/>
              <w:bottom w:val="single" w:sz="4" w:space="0" w:color="000000"/>
              <w:right w:val="single" w:sz="4" w:space="0" w:color="000000"/>
            </w:tcBorders>
            <w:vAlign w:val="center"/>
          </w:tcPr>
          <w:p w14:paraId="58A0704B" w14:textId="77777777" w:rsidR="00AC4FD2" w:rsidRDefault="00000000">
            <w:pPr>
              <w:jc w:val="both"/>
              <w:rPr>
                <w:rFonts w:ascii="Times New Roman" w:eastAsia="Aptos" w:hAnsi="Times New Roman" w:cs="Times New Roman"/>
                <w:sz w:val="28"/>
                <w:szCs w:val="28"/>
                <w:lang w:bidi="ar-SA"/>
              </w:rPr>
            </w:pPr>
            <w:r>
              <w:rPr>
                <w:rFonts w:ascii="Times New Roman" w:eastAsia="Aptos" w:hAnsi="Times New Roman" w:cs="Times New Roman"/>
                <w:sz w:val="28"/>
                <w:szCs w:val="28"/>
                <w:lang w:bidi="ar-SA"/>
              </w:rPr>
              <w:t>Відповідно до кошторисних призначень на 2026 рік</w:t>
            </w:r>
          </w:p>
        </w:tc>
      </w:tr>
      <w:tr w:rsidR="00AC4FD2" w14:paraId="65BF0EE3" w14:textId="77777777">
        <w:trPr>
          <w:trHeight w:val="3915"/>
          <w:jc w:val="center"/>
        </w:trPr>
        <w:tc>
          <w:tcPr>
            <w:tcW w:w="562" w:type="dxa"/>
            <w:tcBorders>
              <w:left w:val="single" w:sz="4" w:space="0" w:color="000000"/>
              <w:bottom w:val="single" w:sz="4" w:space="0" w:color="000000"/>
            </w:tcBorders>
            <w:vAlign w:val="center"/>
          </w:tcPr>
          <w:p w14:paraId="1E38D04C" w14:textId="77777777" w:rsidR="00AC4FD2" w:rsidRDefault="00000000">
            <w:pPr>
              <w:rPr>
                <w:rFonts w:ascii="Aptos" w:eastAsia="Aptos" w:hAnsi="Aptos" w:cs="Times New Roman"/>
                <w:lang w:bidi="ar-SA"/>
              </w:rPr>
            </w:pPr>
            <w:r>
              <w:rPr>
                <w:rFonts w:ascii="Times New Roman" w:eastAsia="Aptos" w:hAnsi="Times New Roman" w:cs="Times New Roman"/>
                <w:sz w:val="28"/>
                <w:szCs w:val="28"/>
                <w:lang w:bidi="ar-SA"/>
              </w:rPr>
              <w:t>7</w:t>
            </w:r>
          </w:p>
        </w:tc>
        <w:tc>
          <w:tcPr>
            <w:tcW w:w="3256" w:type="dxa"/>
            <w:tcBorders>
              <w:left w:val="single" w:sz="4" w:space="0" w:color="000000"/>
              <w:bottom w:val="single" w:sz="4" w:space="0" w:color="000000"/>
            </w:tcBorders>
            <w:vAlign w:val="center"/>
          </w:tcPr>
          <w:p w14:paraId="049BB39A" w14:textId="77777777" w:rsidR="00AC4FD2" w:rsidRDefault="00000000">
            <w:pPr>
              <w:rPr>
                <w:rFonts w:ascii="Times New Roman" w:hAnsi="Times New Roman"/>
              </w:rPr>
            </w:pPr>
            <w:r>
              <w:rPr>
                <w:rFonts w:ascii="Times New Roman" w:hAnsi="Times New Roman"/>
                <w:sz w:val="28"/>
                <w:szCs w:val="28"/>
              </w:rPr>
              <w:t>Обгрунтування очікуваної вартості</w:t>
            </w:r>
          </w:p>
        </w:tc>
        <w:tc>
          <w:tcPr>
            <w:tcW w:w="5820" w:type="dxa"/>
            <w:tcBorders>
              <w:left w:val="single" w:sz="4" w:space="0" w:color="000000"/>
              <w:bottom w:val="single" w:sz="4" w:space="0" w:color="000000"/>
              <w:right w:val="single" w:sz="4" w:space="0" w:color="000000"/>
            </w:tcBorders>
            <w:vAlign w:val="center"/>
          </w:tcPr>
          <w:p w14:paraId="6445D311" w14:textId="77777777" w:rsidR="00AC4FD2" w:rsidRDefault="00000000">
            <w:pPr>
              <w:jc w:val="both"/>
              <w:rPr>
                <w:rFonts w:ascii="Times New Roman" w:hAnsi="Times New Roman"/>
                <w:sz w:val="28"/>
                <w:szCs w:val="28"/>
              </w:rPr>
            </w:pPr>
            <w:r>
              <w:rPr>
                <w:rFonts w:ascii="Times New Roman" w:eastAsia="Times New Roman" w:hAnsi="Times New Roman" w:cs="Times New Roman"/>
                <w:sz w:val="28"/>
                <w:szCs w:val="28"/>
                <w:lang w:eastAsia="uk-UA" w:bidi="ar-SA"/>
              </w:rPr>
              <w:t>Очікувана вартість закупівлі визначена відповідно до Наказу Міністерства розвитку економіки, торгівлі та сільського господарства України «Про затвердження примірної методики визначення очікуваної вартості предмета закупівлі» від 18.02.2020 № 275 (зі змінами). Розрахунок очікуваної вартості предмета Закупівлі здійснюється методом порівняння ринкових цін,</w:t>
            </w:r>
            <w:r>
              <w:rPr>
                <w:rFonts w:ascii="Times New Roman" w:eastAsia="Aptos" w:hAnsi="Times New Roman" w:cs="Times New Roman"/>
                <w:sz w:val="28"/>
                <w:szCs w:val="28"/>
                <w:lang w:bidi="ar-SA"/>
              </w:rPr>
              <w:t xml:space="preserve"> на підставі інформації з отриманих цінових пропозицій на момент вивчення ринку, у межах кошторисних призначень на ці цілі.</w:t>
            </w:r>
          </w:p>
        </w:tc>
      </w:tr>
    </w:tbl>
    <w:p w14:paraId="6DAB00E4" w14:textId="77777777" w:rsidR="00AC4FD2" w:rsidRDefault="00AC4FD2">
      <w:pPr>
        <w:rPr>
          <w:rFonts w:ascii="Times New Roman" w:eastAsia="Aptos" w:hAnsi="Times New Roman"/>
          <w:sz w:val="28"/>
          <w:szCs w:val="28"/>
        </w:rPr>
      </w:pPr>
    </w:p>
    <w:p w14:paraId="544E1048" w14:textId="77777777" w:rsidR="00AC4FD2" w:rsidRDefault="00AC4FD2">
      <w:pPr>
        <w:ind w:firstLine="540"/>
        <w:jc w:val="both"/>
        <w:rPr>
          <w:rFonts w:ascii="Times New Roman" w:hAnsi="Times New Roman"/>
          <w:sz w:val="28"/>
          <w:szCs w:val="28"/>
        </w:rPr>
      </w:pPr>
    </w:p>
    <w:p w14:paraId="51D371E6" w14:textId="77777777" w:rsidR="00AC4FD2" w:rsidRDefault="00AC4FD2">
      <w:pPr>
        <w:ind w:firstLine="540"/>
        <w:jc w:val="both"/>
        <w:rPr>
          <w:rFonts w:ascii="Times New Roman" w:hAnsi="Times New Roman"/>
          <w:sz w:val="28"/>
          <w:szCs w:val="28"/>
        </w:rPr>
      </w:pPr>
    </w:p>
    <w:p w14:paraId="37C552EE" w14:textId="77777777" w:rsidR="00AC4FD2" w:rsidRDefault="00000000">
      <w:pPr>
        <w:jc w:val="both"/>
        <w:rPr>
          <w:rFonts w:ascii="Times New Roman" w:hAnsi="Times New Roman"/>
          <w:sz w:val="28"/>
          <w:szCs w:val="28"/>
        </w:rPr>
      </w:pPr>
      <w:r>
        <w:rPr>
          <w:rFonts w:ascii="Times New Roman" w:hAnsi="Times New Roman"/>
          <w:sz w:val="28"/>
          <w:szCs w:val="28"/>
        </w:rPr>
        <w:t>Т.в.о. заступника начальника санаторію</w:t>
      </w:r>
    </w:p>
    <w:p w14:paraId="280B4E27" w14:textId="77777777" w:rsidR="00AC4FD2" w:rsidRDefault="00000000">
      <w:pPr>
        <w:jc w:val="both"/>
      </w:pPr>
      <w:r>
        <w:rPr>
          <w:rFonts w:ascii="Times New Roman" w:hAnsi="Times New Roman"/>
          <w:sz w:val="28"/>
          <w:szCs w:val="28"/>
        </w:rPr>
        <w:t xml:space="preserve">(з господарського забезпечення) </w:t>
      </w:r>
    </w:p>
    <w:p w14:paraId="54C1F1E7" w14:textId="77777777" w:rsidR="00AC4FD2" w:rsidRDefault="00000000">
      <w:pPr>
        <w:jc w:val="both"/>
      </w:pPr>
      <w:r>
        <w:rPr>
          <w:rFonts w:ascii="Times New Roman" w:hAnsi="Times New Roman"/>
          <w:sz w:val="28"/>
          <w:szCs w:val="28"/>
        </w:rPr>
        <w:t>майор                                                                                   Володимир ПАРТИКА</w:t>
      </w:r>
    </w:p>
    <w:p w14:paraId="2F6A0C8D" w14:textId="77777777" w:rsidR="00AC4FD2" w:rsidRDefault="00AC4FD2">
      <w:pPr>
        <w:jc w:val="both"/>
        <w:rPr>
          <w:rFonts w:ascii="Times New Roman" w:hAnsi="Times New Roman"/>
          <w:sz w:val="28"/>
          <w:szCs w:val="28"/>
        </w:rPr>
      </w:pPr>
    </w:p>
    <w:p w14:paraId="12704AB4" w14:textId="77777777" w:rsidR="00AC4FD2" w:rsidRDefault="00AC4FD2">
      <w:pPr>
        <w:rPr>
          <w:rFonts w:ascii="Times New Roman" w:hAnsi="Times New Roman"/>
          <w:b/>
          <w:color w:val="FF0000"/>
          <w:sz w:val="32"/>
          <w:szCs w:val="32"/>
        </w:rPr>
      </w:pPr>
    </w:p>
    <w:p w14:paraId="78EE87D2" w14:textId="77777777" w:rsidR="00AC4FD2" w:rsidRDefault="00AC4FD2"/>
    <w:sectPr w:rsidR="00AC4FD2">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UkrainianSchoolBook">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ntiqua">
    <w:charset w:val="01"/>
    <w:family w:val="roman"/>
    <w:pitch w:val="variable"/>
  </w:font>
  <w:font w:name="Calibri">
    <w:panose1 w:val="020F0502020204030204"/>
    <w:charset w:val="CC"/>
    <w:family w:val="swiss"/>
    <w:pitch w:val="variable"/>
    <w:sig w:usb0="E4002EFF" w:usb1="C000247B" w:usb2="00000009" w:usb3="00000000" w:csb0="000001FF" w:csb1="00000000"/>
  </w:font>
  <w:font w:name="Myriad Pro">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D2"/>
    <w:rsid w:val="001E41D3"/>
    <w:rsid w:val="002D6277"/>
    <w:rsid w:val="00AC4F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2460F21"/>
  <w15:docId w15:val="{F81A7DD0-B807-47DE-9A72-5E4AF70F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у виносці Знак"/>
    <w:basedOn w:val="a0"/>
    <w:qFormat/>
    <w:rPr>
      <w:rFonts w:ascii="Segoe UI" w:hAnsi="Segoe UI" w:cs="Segoe UI"/>
      <w:sz w:val="18"/>
      <w:szCs w:val="18"/>
      <w:lang w:eastAsia="en-US"/>
    </w:rPr>
  </w:style>
  <w:style w:type="character" w:customStyle="1" w:styleId="a4">
    <w:name w:val="Знак Знак"/>
    <w:qFormat/>
    <w:rPr>
      <w:lang w:val="ru-RU" w:eastAsia="ru-RU"/>
    </w:rPr>
  </w:style>
  <w:style w:type="character" w:styleId="a5">
    <w:name w:val="FollowedHyperlink"/>
    <w:basedOn w:val="a0"/>
    <w:rPr>
      <w:rFonts w:cs="Times New Roman"/>
      <w:color w:val="800080"/>
      <w:u w:val="single"/>
      <w:shd w:val="clear" w:color="auto" w:fill="auto"/>
    </w:rPr>
  </w:style>
  <w:style w:type="character" w:customStyle="1" w:styleId="2">
    <w:name w:val="Основной текст (2)"/>
    <w:basedOn w:val="a0"/>
    <w:qFormat/>
    <w:rPr>
      <w:rFonts w:ascii="Times New Roman" w:hAnsi="Times New Roman" w:cs="Times New Roman"/>
      <w:color w:val="000000"/>
      <w:spacing w:val="0"/>
      <w:sz w:val="28"/>
      <w:szCs w:val="28"/>
      <w:u w:val="single"/>
      <w:shd w:val="clear" w:color="auto" w:fill="auto"/>
      <w:lang w:val="uk-UA" w:eastAsia="uk-UA"/>
    </w:rPr>
  </w:style>
  <w:style w:type="character" w:customStyle="1" w:styleId="rvts40">
    <w:name w:val="rvts40"/>
    <w:basedOn w:val="a0"/>
    <w:qFormat/>
    <w:rPr>
      <w:rFonts w:cs="Times New Roman"/>
    </w:rPr>
  </w:style>
  <w:style w:type="character" w:customStyle="1" w:styleId="rvts9">
    <w:name w:val="rvts9"/>
    <w:basedOn w:val="a0"/>
    <w:qFormat/>
    <w:rPr>
      <w:rFonts w:cs="Times New Roman"/>
    </w:rPr>
  </w:style>
  <w:style w:type="character" w:customStyle="1" w:styleId="rvts23">
    <w:name w:val="rvts23"/>
    <w:basedOn w:val="a0"/>
    <w:qFormat/>
    <w:rPr>
      <w:rFonts w:cs="Times New Roman"/>
    </w:rPr>
  </w:style>
  <w:style w:type="character" w:customStyle="1" w:styleId="rvts15">
    <w:name w:val="rvts15"/>
    <w:basedOn w:val="a0"/>
    <w:qFormat/>
    <w:rPr>
      <w:rFonts w:cs="Times New Roman"/>
    </w:rPr>
  </w:style>
  <w:style w:type="character" w:styleId="a6">
    <w:name w:val="Hyperlink"/>
    <w:basedOn w:val="a0"/>
    <w:rPr>
      <w:rFonts w:cs="Times New Roman"/>
      <w:color w:val="0000FF"/>
      <w:u w:val="single"/>
      <w:shd w:val="clear" w:color="auto" w:fill="auto"/>
    </w:rPr>
  </w:style>
  <w:style w:type="character" w:customStyle="1" w:styleId="a7">
    <w:name w:val="Нижній колонтитул Знак"/>
    <w:basedOn w:val="a0"/>
    <w:qFormat/>
    <w:rPr>
      <w:rFonts w:cs="Times New Roman"/>
    </w:rPr>
  </w:style>
  <w:style w:type="character" w:customStyle="1" w:styleId="a8">
    <w:name w:val="Верхній колонтитул Знак"/>
    <w:basedOn w:val="a0"/>
    <w:qFormat/>
    <w:rPr>
      <w:rFonts w:cs="Times New Roman"/>
    </w:rPr>
  </w:style>
  <w:style w:type="character" w:customStyle="1" w:styleId="rvts11">
    <w:name w:val="rvts11"/>
    <w:qFormat/>
  </w:style>
  <w:style w:type="character" w:customStyle="1" w:styleId="a9">
    <w:name w:val="Основний текст з відступом Знак"/>
    <w:basedOn w:val="a0"/>
    <w:qFormat/>
    <w:rPr>
      <w:rFonts w:ascii="Times New Roman" w:hAnsi="Times New Roman" w:cs="Times New Roman"/>
      <w:sz w:val="28"/>
      <w:szCs w:val="28"/>
      <w:shd w:val="clear" w:color="auto" w:fill="auto"/>
      <w:lang w:val="uk-UA" w:eastAsia="ru-RU"/>
    </w:rPr>
  </w:style>
  <w:style w:type="character" w:customStyle="1" w:styleId="aa">
    <w:name w:val="Основний текст Знак"/>
    <w:basedOn w:val="a0"/>
    <w:qFormat/>
    <w:rPr>
      <w:rFonts w:ascii="Times New Roman" w:hAnsi="Times New Roman" w:cs="Times New Roman"/>
      <w:sz w:val="28"/>
      <w:szCs w:val="28"/>
      <w:shd w:val="clear" w:color="auto" w:fill="auto"/>
      <w:lang w:val="uk-UA" w:eastAsia="ru-RU"/>
    </w:rPr>
  </w:style>
  <w:style w:type="character" w:customStyle="1" w:styleId="ab">
    <w:name w:val="Абзац списку Знак"/>
    <w:qFormat/>
  </w:style>
  <w:style w:type="character" w:customStyle="1" w:styleId="ac">
    <w:name w:val="Звичайний (веб) Знак"/>
    <w:qFormat/>
    <w:rPr>
      <w:sz w:val="24"/>
      <w:lang w:val="ru-RU" w:eastAsia="en-US"/>
    </w:rPr>
  </w:style>
  <w:style w:type="character" w:customStyle="1" w:styleId="Italic">
    <w:name w:val="Italic"/>
    <w:qFormat/>
    <w:rPr>
      <w:rFonts w:ascii="Times New Roman" w:hAnsi="Times New Roman"/>
      <w:i/>
      <w:shd w:val="clear" w:color="auto" w:fill="auto"/>
    </w:rPr>
  </w:style>
  <w:style w:type="character" w:customStyle="1" w:styleId="Bold">
    <w:name w:val="Bold"/>
    <w:qFormat/>
    <w:rPr>
      <w:rFonts w:ascii="Times New Roman" w:hAnsi="Times New Roman"/>
      <w:b/>
      <w:shd w:val="clear" w:color="auto" w:fill="auto"/>
    </w:rPr>
  </w:style>
  <w:style w:type="character" w:styleId="ad">
    <w:name w:val="Strong"/>
    <w:basedOn w:val="a0"/>
    <w:qFormat/>
    <w:rPr>
      <w:rFonts w:cs="Times New Roman"/>
      <w:b/>
      <w:shd w:val="clear" w:color="auto" w:fill="auto"/>
    </w:rPr>
  </w:style>
  <w:style w:type="character" w:styleId="ae">
    <w:name w:val="Emphasis"/>
    <w:basedOn w:val="a0"/>
    <w:qFormat/>
    <w:rPr>
      <w:rFonts w:cs="Times New Roman"/>
      <w:i/>
      <w:shd w:val="clear" w:color="auto" w:fill="auto"/>
    </w:rPr>
  </w:style>
  <w:style w:type="character" w:customStyle="1" w:styleId="af">
    <w:name w:val="Назва Знак"/>
    <w:basedOn w:val="a0"/>
    <w:qFormat/>
    <w:rPr>
      <w:rFonts w:ascii="UkrainianSchoolBook" w:hAnsi="UkrainianSchoolBook" w:cs="Times New Roman"/>
      <w:b/>
      <w:color w:val="000000"/>
      <w:sz w:val="24"/>
      <w:szCs w:val="24"/>
      <w:shd w:val="clear" w:color="auto" w:fill="auto"/>
      <w:lang w:val="uk-UA" w:eastAsia="ru-RU"/>
    </w:rPr>
  </w:style>
  <w:style w:type="paragraph" w:customStyle="1" w:styleId="af0">
    <w:name w:val="Заголовок"/>
    <w:basedOn w:val="a"/>
    <w:next w:val="af1"/>
    <w:qFormat/>
    <w:pPr>
      <w:keepNext/>
      <w:spacing w:before="240" w:after="120"/>
    </w:pPr>
    <w:rPr>
      <w:rFonts w:ascii="Liberation Sans" w:eastAsia="Noto Sans CJK SC" w:hAnsi="Liberation Sans"/>
      <w:sz w:val="28"/>
      <w:szCs w:val="28"/>
    </w:rPr>
  </w:style>
  <w:style w:type="paragraph" w:styleId="af1">
    <w:name w:val="Body Text"/>
    <w:basedOn w:val="a"/>
    <w:pPr>
      <w:spacing w:after="140" w:line="276" w:lineRule="auto"/>
    </w:pPr>
  </w:style>
  <w:style w:type="paragraph" w:styleId="af2">
    <w:name w:val="List"/>
    <w:basedOn w:val="af1"/>
  </w:style>
  <w:style w:type="paragraph" w:styleId="af3">
    <w:name w:val="caption"/>
    <w:basedOn w:val="a"/>
    <w:qFormat/>
    <w:pPr>
      <w:suppressLineNumbers/>
      <w:spacing w:before="120" w:after="120"/>
    </w:pPr>
    <w:rPr>
      <w:i/>
      <w:iCs/>
    </w:rPr>
  </w:style>
  <w:style w:type="paragraph" w:customStyle="1" w:styleId="af4">
    <w:name w:val="Покажчик"/>
    <w:basedOn w:val="a"/>
    <w:qFormat/>
    <w:pPr>
      <w:suppressLineNumbers/>
    </w:pPr>
  </w:style>
  <w:style w:type="paragraph" w:customStyle="1" w:styleId="af5">
    <w:name w:val="Вміст рамки"/>
    <w:basedOn w:val="a"/>
    <w:qFormat/>
  </w:style>
  <w:style w:type="paragraph" w:styleId="af6">
    <w:name w:val="Balloon Text"/>
    <w:basedOn w:val="a"/>
    <w:qFormat/>
    <w:rPr>
      <w:rFonts w:ascii="Segoe UI" w:hAnsi="Segoe UI" w:cs="Segoe UI"/>
      <w:sz w:val="18"/>
      <w:szCs w:val="18"/>
    </w:rPr>
  </w:style>
  <w:style w:type="paragraph" w:customStyle="1" w:styleId="TableParagraph">
    <w:name w:val="Table Paragraph"/>
    <w:basedOn w:val="a"/>
    <w:qFormat/>
    <w:pPr>
      <w:widowControl w:val="0"/>
      <w:ind w:left="88"/>
      <w:jc w:val="both"/>
    </w:pPr>
    <w:rPr>
      <w:rFonts w:ascii="Times New Roman" w:eastAsia="Times New Roman" w:hAnsi="Times New Roman"/>
    </w:rPr>
  </w:style>
  <w:style w:type="paragraph" w:customStyle="1" w:styleId="20">
    <w:name w:val="Знак Знак2 Знак"/>
    <w:basedOn w:val="a"/>
    <w:qFormat/>
    <w:rPr>
      <w:rFonts w:ascii="Verdana" w:eastAsia="Times New Roman" w:hAnsi="Verdana" w:cs="Verdana"/>
      <w:sz w:val="20"/>
      <w:szCs w:val="20"/>
      <w:lang w:val="en-US"/>
    </w:rPr>
  </w:style>
  <w:style w:type="paragraph" w:customStyle="1" w:styleId="af7">
    <w:name w:val="Нормальний текст"/>
    <w:basedOn w:val="a"/>
    <w:qFormat/>
    <w:pPr>
      <w:spacing w:before="120"/>
      <w:ind w:firstLine="567"/>
    </w:pPr>
    <w:rPr>
      <w:rFonts w:ascii="Antiqua" w:eastAsia="Times New Roman" w:hAnsi="Antiqua"/>
      <w:sz w:val="26"/>
      <w:szCs w:val="20"/>
      <w:lang w:eastAsia="uk-UA"/>
    </w:rPr>
  </w:style>
  <w:style w:type="paragraph" w:customStyle="1" w:styleId="xl76">
    <w:name w:val="xl76"/>
    <w:basedOn w:val="a"/>
    <w:qFormat/>
    <w:pPr>
      <w:pBdr>
        <w:top w:val="single" w:sz="4" w:space="0" w:color="000000"/>
      </w:pBdr>
      <w:spacing w:before="280" w:after="280"/>
      <w:jc w:val="center"/>
    </w:pPr>
    <w:rPr>
      <w:rFonts w:eastAsia="Times New Roman" w:cs="Calibri"/>
      <w:b/>
      <w:lang w:eastAsia="uk-UA"/>
    </w:rPr>
  </w:style>
  <w:style w:type="paragraph" w:customStyle="1" w:styleId="xl75">
    <w:name w:val="xl75"/>
    <w:basedOn w:val="a"/>
    <w:qFormat/>
    <w:pPr>
      <w:spacing w:before="280" w:after="280"/>
      <w:jc w:val="center"/>
    </w:pPr>
    <w:rPr>
      <w:rFonts w:eastAsia="Times New Roman" w:cs="Calibri"/>
      <w:b/>
      <w:lang w:eastAsia="uk-UA"/>
    </w:rPr>
  </w:style>
  <w:style w:type="paragraph" w:customStyle="1" w:styleId="xl74">
    <w:name w:val="xl74"/>
    <w:basedOn w:val="a"/>
    <w:qFormat/>
    <w:pPr>
      <w:pBdr>
        <w:top w:val="single" w:sz="4" w:space="0" w:color="000000"/>
        <w:left w:val="single" w:sz="4" w:space="0" w:color="000000"/>
        <w:bottom w:val="single" w:sz="4" w:space="0" w:color="000000"/>
        <w:right w:val="single" w:sz="4" w:space="0" w:color="000000"/>
      </w:pBdr>
      <w:spacing w:before="280" w:after="280"/>
    </w:pPr>
    <w:rPr>
      <w:rFonts w:eastAsia="Times New Roman" w:cs="Calibri"/>
      <w:lang w:eastAsia="uk-UA"/>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280" w:after="280"/>
    </w:pPr>
    <w:rPr>
      <w:rFonts w:eastAsia="Times New Roman" w:cs="Calibri"/>
      <w:lang w:eastAsia="uk-UA"/>
    </w:rPr>
  </w:style>
  <w:style w:type="paragraph" w:customStyle="1" w:styleId="xl72">
    <w:name w:val="xl72"/>
    <w:basedOn w:val="a"/>
    <w:qFormat/>
    <w:pPr>
      <w:pBdr>
        <w:top w:val="single" w:sz="4" w:space="0" w:color="000000"/>
        <w:left w:val="single" w:sz="4" w:space="0" w:color="000000"/>
        <w:bottom w:val="single" w:sz="4" w:space="0" w:color="000000"/>
        <w:right w:val="single" w:sz="4" w:space="0" w:color="000000"/>
      </w:pBdr>
      <w:spacing w:before="280" w:after="280"/>
    </w:pPr>
    <w:rPr>
      <w:rFonts w:eastAsia="Times New Roman" w:cs="Calibri"/>
      <w:lang w:eastAsia="uk-UA"/>
    </w:rPr>
  </w:style>
  <w:style w:type="paragraph" w:customStyle="1" w:styleId="xl71">
    <w:name w:val="xl71"/>
    <w:basedOn w:val="a"/>
    <w:qFormat/>
    <w:pPr>
      <w:spacing w:before="280" w:after="280"/>
      <w:jc w:val="center"/>
    </w:pPr>
    <w:rPr>
      <w:rFonts w:ascii="Times New Roman" w:eastAsia="Times New Roman" w:hAnsi="Times New Roman"/>
      <w:lang w:eastAsia="uk-UA"/>
    </w:rPr>
  </w:style>
  <w:style w:type="paragraph" w:customStyle="1" w:styleId="xl70">
    <w:name w:val="xl70"/>
    <w:basedOn w:val="a"/>
    <w:qFormat/>
    <w:pPr>
      <w:spacing w:before="280" w:after="280"/>
    </w:pPr>
    <w:rPr>
      <w:rFonts w:eastAsia="Times New Roman" w:cs="Calibri"/>
      <w:b/>
      <w:lang w:eastAsia="uk-UA"/>
    </w:rPr>
  </w:style>
  <w:style w:type="paragraph" w:customStyle="1" w:styleId="xl69">
    <w:name w:val="xl69"/>
    <w:basedOn w:val="a"/>
    <w:qFormat/>
    <w:pPr>
      <w:spacing w:before="280" w:after="280"/>
    </w:pPr>
    <w:rPr>
      <w:rFonts w:ascii="Times New Roman" w:eastAsia="Times New Roman" w:hAnsi="Times New Roman"/>
      <w:lang w:eastAsia="uk-UA"/>
    </w:rPr>
  </w:style>
  <w:style w:type="paragraph" w:customStyle="1" w:styleId="xl68">
    <w:name w:val="xl68"/>
    <w:basedOn w:val="a"/>
    <w:qFormat/>
    <w:pPr>
      <w:pBdr>
        <w:top w:val="single" w:sz="4" w:space="0" w:color="000000"/>
        <w:left w:val="single" w:sz="4" w:space="0" w:color="000000"/>
        <w:bottom w:val="single" w:sz="4" w:space="0" w:color="000000"/>
        <w:right w:val="single" w:sz="4" w:space="0" w:color="000000"/>
      </w:pBdr>
      <w:spacing w:before="280" w:after="280"/>
    </w:pPr>
    <w:rPr>
      <w:rFonts w:ascii="Times New Roman" w:eastAsia="Times New Roman" w:hAnsi="Times New Roman"/>
      <w:lang w:eastAsia="uk-UA"/>
    </w:rPr>
  </w:style>
  <w:style w:type="paragraph" w:customStyle="1" w:styleId="xl67">
    <w:name w:val="xl67"/>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Calibri"/>
      <w:b/>
      <w:lang w:eastAsia="uk-UA"/>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280" w:after="280"/>
    </w:pPr>
    <w:rPr>
      <w:rFonts w:ascii="Times New Roman" w:eastAsia="Times New Roman" w:hAnsi="Times New Roman"/>
      <w:lang w:eastAsia="uk-UA"/>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s="Calibri"/>
      <w:b/>
      <w:lang w:eastAsia="uk-UA"/>
    </w:rPr>
  </w:style>
  <w:style w:type="paragraph" w:customStyle="1" w:styleId="msonormal0">
    <w:name w:val="msonormal"/>
    <w:basedOn w:val="a"/>
    <w:qFormat/>
    <w:pPr>
      <w:spacing w:before="280" w:after="280"/>
    </w:pPr>
    <w:rPr>
      <w:rFonts w:ascii="Times New Roman" w:eastAsia="Times New Roman" w:hAnsi="Times New Roman"/>
      <w:lang w:eastAsia="uk-UA"/>
    </w:rPr>
  </w:style>
  <w:style w:type="paragraph" w:customStyle="1" w:styleId="rvps14">
    <w:name w:val="rvps14"/>
    <w:basedOn w:val="a"/>
    <w:qFormat/>
    <w:pPr>
      <w:spacing w:before="280" w:after="280"/>
    </w:pPr>
    <w:rPr>
      <w:rFonts w:ascii="Times New Roman" w:eastAsia="Times New Roman" w:hAnsi="Times New Roman"/>
      <w:lang w:eastAsia="uk-UA"/>
    </w:rPr>
  </w:style>
  <w:style w:type="paragraph" w:customStyle="1" w:styleId="rvps12">
    <w:name w:val="rvps12"/>
    <w:basedOn w:val="a"/>
    <w:qFormat/>
    <w:pPr>
      <w:spacing w:before="280" w:after="280"/>
    </w:pPr>
    <w:rPr>
      <w:rFonts w:ascii="Times New Roman" w:eastAsia="Times New Roman" w:hAnsi="Times New Roman"/>
      <w:lang w:eastAsia="uk-UA"/>
    </w:rPr>
  </w:style>
  <w:style w:type="paragraph" w:customStyle="1" w:styleId="rvps6">
    <w:name w:val="rvps6"/>
    <w:basedOn w:val="a"/>
    <w:qFormat/>
    <w:pPr>
      <w:spacing w:before="280" w:after="280"/>
    </w:pPr>
    <w:rPr>
      <w:rFonts w:ascii="Times New Roman" w:eastAsia="Times New Roman" w:hAnsi="Times New Roman"/>
      <w:lang w:eastAsia="uk-UA"/>
    </w:rPr>
  </w:style>
  <w:style w:type="paragraph" w:customStyle="1" w:styleId="rvps7">
    <w:name w:val="rvps7"/>
    <w:basedOn w:val="a"/>
    <w:qFormat/>
    <w:pPr>
      <w:spacing w:before="280" w:after="280"/>
    </w:pPr>
    <w:rPr>
      <w:rFonts w:ascii="Times New Roman" w:eastAsia="Times New Roman" w:hAnsi="Times New Roman"/>
      <w:lang w:eastAsia="uk-UA"/>
    </w:rPr>
  </w:style>
  <w:style w:type="paragraph" w:customStyle="1" w:styleId="rvps4">
    <w:name w:val="rvps4"/>
    <w:basedOn w:val="a"/>
    <w:qFormat/>
    <w:pPr>
      <w:spacing w:before="280" w:after="280"/>
    </w:pPr>
    <w:rPr>
      <w:rFonts w:ascii="Times New Roman" w:eastAsia="Times New Roman" w:hAnsi="Times New Roman"/>
      <w:lang w:eastAsia="uk-UA"/>
    </w:rPr>
  </w:style>
  <w:style w:type="paragraph" w:customStyle="1" w:styleId="rvps1">
    <w:name w:val="rvps1"/>
    <w:basedOn w:val="a"/>
    <w:qFormat/>
    <w:pPr>
      <w:spacing w:before="280" w:after="280"/>
    </w:pPr>
    <w:rPr>
      <w:rFonts w:ascii="Times New Roman" w:eastAsia="Times New Roman" w:hAnsi="Times New Roman"/>
      <w:lang w:eastAsia="uk-UA"/>
    </w:rPr>
  </w:style>
  <w:style w:type="paragraph" w:customStyle="1" w:styleId="1">
    <w:name w:val="Знак Знак1 Знак Знак Знак Знак"/>
    <w:basedOn w:val="a"/>
    <w:qFormat/>
    <w:rPr>
      <w:rFonts w:ascii="Verdana" w:eastAsia="Times New Roman" w:hAnsi="Verdana" w:cs="Verdana"/>
      <w:sz w:val="20"/>
      <w:szCs w:val="20"/>
      <w:lang w:val="en-US"/>
    </w:rPr>
  </w:style>
  <w:style w:type="paragraph" w:customStyle="1" w:styleId="HeaderandFooter">
    <w:name w:val="Header and Footer"/>
    <w:basedOn w:val="a"/>
    <w:qFormat/>
    <w:pPr>
      <w:suppressLineNumbers/>
      <w:tabs>
        <w:tab w:val="center" w:pos="4819"/>
        <w:tab w:val="right" w:pos="9638"/>
      </w:tabs>
    </w:pPr>
  </w:style>
  <w:style w:type="paragraph" w:styleId="af8">
    <w:name w:val="footer"/>
    <w:basedOn w:val="a"/>
    <w:pPr>
      <w:tabs>
        <w:tab w:val="center" w:pos="4819"/>
        <w:tab w:val="right" w:pos="9639"/>
      </w:tabs>
    </w:pPr>
  </w:style>
  <w:style w:type="paragraph" w:styleId="af9">
    <w:name w:val="header"/>
    <w:basedOn w:val="a"/>
    <w:pPr>
      <w:tabs>
        <w:tab w:val="center" w:pos="4819"/>
        <w:tab w:val="right" w:pos="9639"/>
      </w:tabs>
    </w:pPr>
  </w:style>
  <w:style w:type="paragraph" w:styleId="afa">
    <w:name w:val="Body Text Indent"/>
    <w:basedOn w:val="a"/>
    <w:pPr>
      <w:spacing w:after="120"/>
      <w:ind w:left="283"/>
    </w:pPr>
    <w:rPr>
      <w:rFonts w:ascii="Times New Roman" w:eastAsia="Times New Roman" w:hAnsi="Times New Roman"/>
      <w:sz w:val="28"/>
      <w:szCs w:val="28"/>
      <w:lang w:eastAsia="ru-RU"/>
    </w:rPr>
  </w:style>
  <w:style w:type="paragraph" w:customStyle="1" w:styleId="rvps2">
    <w:name w:val="rvps2"/>
    <w:basedOn w:val="a"/>
    <w:qFormat/>
    <w:pPr>
      <w:spacing w:before="280" w:after="280"/>
    </w:pPr>
    <w:rPr>
      <w:rFonts w:ascii="Times New Roman" w:eastAsia="Times New Roman" w:hAnsi="Times New Roman"/>
      <w:lang w:eastAsia="ru-RU"/>
    </w:rPr>
  </w:style>
  <w:style w:type="paragraph" w:styleId="afb">
    <w:name w:val="Normal (Web)"/>
    <w:basedOn w:val="a"/>
    <w:qFormat/>
    <w:rPr>
      <w:szCs w:val="20"/>
    </w:rPr>
  </w:style>
  <w:style w:type="paragraph" w:customStyle="1" w:styleId="3ShiftAlt">
    <w:name w:val="Додаток_заголовок 3 (Додаток___Shift+Alt)"/>
    <w:qFormat/>
    <w:pPr>
      <w:spacing w:line="230" w:lineRule="atLeast"/>
      <w:jc w:val="center"/>
    </w:pPr>
    <w:rPr>
      <w:rFonts w:ascii="Times New Roman" w:eastAsia="Calibri" w:hAnsi="Times New Roman" w:cs="Myriad Pro"/>
      <w:b/>
      <w:color w:val="000000"/>
      <w:kern w:val="0"/>
      <w:sz w:val="28"/>
      <w:szCs w:val="28"/>
      <w:lang w:eastAsia="en-US" w:bidi="ar-SA"/>
    </w:rPr>
  </w:style>
  <w:style w:type="paragraph" w:customStyle="1" w:styleId="ShiftAlt">
    <w:name w:val="Додаток_основной_текст (Додаток___Shift+Alt)"/>
    <w:qFormat/>
    <w:pPr>
      <w:spacing w:line="210" w:lineRule="atLeast"/>
      <w:ind w:firstLine="227"/>
      <w:jc w:val="both"/>
    </w:pPr>
    <w:rPr>
      <w:rFonts w:ascii="Times New Roman" w:eastAsia="Calibri" w:hAnsi="Times New Roman" w:cs="Myriad Pro"/>
      <w:color w:val="000000"/>
      <w:kern w:val="0"/>
      <w:lang w:eastAsia="en-US" w:bidi="ar-SA"/>
    </w:rPr>
  </w:style>
  <w:style w:type="paragraph" w:styleId="afc">
    <w:name w:val="List Paragraph"/>
    <w:basedOn w:val="a"/>
    <w:qFormat/>
    <w:pPr>
      <w:spacing w:after="160"/>
      <w:ind w:left="720"/>
      <w:contextualSpacing/>
    </w:pPr>
  </w:style>
  <w:style w:type="paragraph" w:styleId="afd">
    <w:name w:val="Title"/>
    <w:basedOn w:val="a"/>
    <w:uiPriority w:val="10"/>
    <w:qFormat/>
    <w:pPr>
      <w:tabs>
        <w:tab w:val="left" w:pos="5670"/>
      </w:tabs>
      <w:ind w:firstLine="426"/>
      <w:jc w:val="center"/>
    </w:pPr>
    <w:rPr>
      <w:rFonts w:ascii="UkrainianSchoolBook" w:eastAsia="Times New Roman" w:hAnsi="UkrainianSchoolBook"/>
      <w:b/>
      <w:color w:val="000000"/>
      <w:lang w:eastAsia="ru-RU"/>
    </w:rPr>
  </w:style>
  <w:style w:type="paragraph" w:customStyle="1" w:styleId="afe">
    <w:name w:val="Вміст таблиці"/>
    <w:basedOn w:val="a"/>
    <w:qFormat/>
    <w:pPr>
      <w:widowControl w:val="0"/>
      <w:suppressLineNumbers/>
    </w:pPr>
  </w:style>
  <w:style w:type="paragraph" w:customStyle="1" w:styleId="aff">
    <w:name w:val="Заголовок таблиці"/>
    <w:basedOn w:val="afe"/>
    <w:qFormat/>
    <w:pPr>
      <w:jc w:val="center"/>
    </w:pPr>
    <w:rPr>
      <w:b/>
      <w:bCs/>
    </w:rPr>
  </w:style>
  <w:style w:type="numbering" w:customStyle="1" w:styleId="aff0">
    <w:name w:val="Без маркерів"/>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2063</Words>
  <Characters>1177</Characters>
  <Application>Microsoft Office Word</Application>
  <DocSecurity>0</DocSecurity>
  <Lines>9</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2026-04-22T11:54:00Z</dcterms:created>
  <dcterms:modified xsi:type="dcterms:W3CDTF">2026-04-22T11:54:00Z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2026-03-23T16:41:10Z</dcterms:created>
  <dc:creator/>
  <dc:description/>
  <dc:language>uk-UA</dc:language>
  <cp:lastModifiedBy/>
  <cp:lastPrinted>2026-04-21T16:38:48Z</cp:lastPrinted>
  <dcterms:modified xsi:type="dcterms:W3CDTF">2026-04-21T16:44:49Z</dcterms:modified>
  <cp:revision>7</cp:revision>
  <dc:subject/>
  <dc:title/>
</cp:coreProperties>
</file>