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1"/>
        <w:gridCol w:w="5975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2D48A7" w:rsidRDefault="002D48A7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2D48A7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конверти крафтові у кількості 20 000 од, папір крафтовий у кількості 40 од, конверти білі для пересилання листів та документації у кількості 2000 од.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2D48A7" w:rsidRPr="002D48A7">
              <w:rPr>
                <w:b w:val="0"/>
                <w:sz w:val="24"/>
                <w:szCs w:val="24"/>
              </w:rPr>
              <w:t>30190000-7 Офісне устаткування та приладдя різне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2D48A7" w:rsidP="00762B07">
            <w:pPr>
              <w:rPr>
                <w:lang w:val="uk-UA"/>
              </w:rPr>
            </w:pPr>
            <w:r w:rsidRPr="002D48A7">
              <w:rPr>
                <w:rFonts w:ascii="Arial" w:hAnsi="Arial" w:cs="Arial"/>
                <w:color w:val="242638"/>
                <w:shd w:val="clear" w:color="auto" w:fill="FFFFFF"/>
              </w:rPr>
              <w:t>UA-2025-09-26-006140-a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2D48A7" w:rsidP="009E03B7">
            <w:pPr>
              <w:jc w:val="both"/>
              <w:rPr>
                <w:lang w:val="uk-UA"/>
              </w:rPr>
            </w:pPr>
            <w:r w:rsidRPr="002D48A7">
              <w:rPr>
                <w:bCs/>
                <w:lang w:val="uk-UA"/>
              </w:rPr>
              <w:t>закупівля проводиться з метою здійснення Управлінням поштових відправлень послугами фельд’єгерського та спеціального зв’язку, згідно з вимогами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організаціях, затвердженого постановою Кабінету Міністрів України від 18.12.2013 № 939 (далі – Порядок -939)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2D48A7" w:rsidP="0001515C">
            <w:pPr>
              <w:jc w:val="both"/>
              <w:rPr>
                <w:lang w:val="uk-UA"/>
              </w:rPr>
            </w:pPr>
            <w:r w:rsidRPr="002D48A7">
              <w:rPr>
                <w:bCs/>
                <w:lang w:val="uk-UA"/>
              </w:rPr>
              <w:t>Закупівля планується за рахунок коштів загального фонду державного бюджету. КЕКВ 2210 КПКВ 6521010.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8A368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2D48A7" w:rsidRPr="002D48A7">
              <w:rPr>
                <w:b/>
                <w:bCs/>
                <w:i/>
                <w:lang w:val="uk-UA"/>
              </w:rPr>
              <w:t>148 000 грн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EC" w:rsidRDefault="003954EC">
      <w:r>
        <w:separator/>
      </w:r>
    </w:p>
  </w:endnote>
  <w:endnote w:type="continuationSeparator" w:id="0">
    <w:p w:rsidR="003954EC" w:rsidRDefault="003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EC" w:rsidRDefault="003954EC">
      <w:r>
        <w:separator/>
      </w:r>
    </w:p>
  </w:footnote>
  <w:footnote w:type="continuationSeparator" w:id="0">
    <w:p w:rsidR="003954EC" w:rsidRDefault="0039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48A7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954EC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51A55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2025-10-31T09:46:00Z</dcterms:created>
  <dcterms:modified xsi:type="dcterms:W3CDTF">2025-10-31T09:46:00Z</dcterms:modified>
</cp:coreProperties>
</file>