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190750" w:rsidRDefault="001907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C81F95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UA-2024-07-18-009831-a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253186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253186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253186">
        <w:rPr>
          <w:rFonts w:ascii="Times New Roman" w:hAnsi="Times New Roman" w:cs="Times New Roman"/>
          <w:sz w:val="28"/>
          <w:szCs w:val="28"/>
        </w:rPr>
        <w:t> </w:t>
      </w:r>
      <w:r w:rsidR="001001D4" w:rsidRPr="002531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253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186" w:rsidRPr="002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0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60</w:t>
      </w:r>
      <w:r w:rsidR="002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253186" w:rsidRPr="002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000,0</w:t>
      </w:r>
      <w:r w:rsidR="00AD19CD" w:rsidRPr="0025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грн</w:t>
      </w:r>
      <w:r w:rsidR="00FA4787" w:rsidRPr="00253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EB6B87" w:rsidRPr="00253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253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805D9">
        <w:rPr>
          <w:rFonts w:ascii="Times New Roman" w:eastAsia="Times New Roman" w:hAnsi="Times New Roman" w:cs="Times New Roman"/>
          <w:sz w:val="28"/>
          <w:szCs w:val="28"/>
          <w:lang w:eastAsia="ru-RU"/>
        </w:rPr>
        <w:t>25.10</w:t>
      </w:r>
      <w:r w:rsidR="007754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до </w:t>
      </w:r>
      <w:r w:rsidR="0077547F">
        <w:rPr>
          <w:rFonts w:ascii="Times New Roman" w:hAnsi="Times New Roman" w:cs="Times New Roman"/>
          <w:sz w:val="28"/>
          <w:szCs w:val="28"/>
        </w:rPr>
        <w:t>кошторисного призначення на 2024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3739">
    <w:abstractNumId w:val="0"/>
  </w:num>
  <w:num w:numId="2" w16cid:durableId="1429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0750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53186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7547F"/>
    <w:rsid w:val="007825D6"/>
    <w:rsid w:val="00793D83"/>
    <w:rsid w:val="007B794F"/>
    <w:rsid w:val="007C40FE"/>
    <w:rsid w:val="007F0414"/>
    <w:rsid w:val="007F5F7E"/>
    <w:rsid w:val="008174B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05D9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81F95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933B"/>
  <w15:docId w15:val="{7538BDF2-5166-FC4B-84FC-78D90290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EB5D-A49C-4D5F-961F-231F3468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Microsoft Office User</cp:lastModifiedBy>
  <cp:revision>4</cp:revision>
  <cp:lastPrinted>2024-05-23T06:57:00Z</cp:lastPrinted>
  <dcterms:created xsi:type="dcterms:W3CDTF">2024-07-16T12:46:00Z</dcterms:created>
  <dcterms:modified xsi:type="dcterms:W3CDTF">2024-07-19T06:17:00Z</dcterms:modified>
</cp:coreProperties>
</file>