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A4" w:rsidRDefault="00FD1DA4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C9" w:rsidRPr="00AF2E08" w:rsidRDefault="00C66C23" w:rsidP="00C66C2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0D4346">
        <w:rPr>
          <w:rFonts w:ascii="Times New Roman" w:hAnsi="Times New Roman" w:cs="Times New Roman"/>
          <w:b/>
          <w:sz w:val="28"/>
          <w:szCs w:val="28"/>
        </w:rPr>
        <w:t xml:space="preserve">технічних та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C66C23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9E3A24" w:rsidP="00C66C23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2162C9" w:rsidRDefault="000B1F80" w:rsidP="00C66C23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BF28A5" w:rsidRPr="00BF28A5">
        <w:rPr>
          <w:rFonts w:ascii="Times New Roman" w:hAnsi="Times New Roman"/>
          <w:b/>
          <w:sz w:val="28"/>
          <w:szCs w:val="28"/>
        </w:rPr>
        <w:t xml:space="preserve">послуги, </w:t>
      </w:r>
      <w:r w:rsidR="00BF28A5" w:rsidRPr="00BF28A5">
        <w:rPr>
          <w:rFonts w:ascii="Times New Roman" w:hAnsi="Times New Roman"/>
          <w:b/>
          <w:bCs/>
          <w:color w:val="000000"/>
          <w:sz w:val="28"/>
          <w:szCs w:val="28"/>
        </w:rPr>
        <w:t>пов`язан</w:t>
      </w:r>
      <w:r w:rsidR="001E4E0C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r w:rsidR="00BF28A5" w:rsidRPr="00BF28A5">
        <w:rPr>
          <w:rFonts w:ascii="Times New Roman" w:hAnsi="Times New Roman"/>
          <w:b/>
          <w:bCs/>
          <w:color w:val="000000"/>
          <w:sz w:val="28"/>
          <w:szCs w:val="28"/>
        </w:rPr>
        <w:t xml:space="preserve"> з програмним забезпеченням</w:t>
      </w:r>
      <w:r w:rsidR="00BF28A5" w:rsidRPr="00BF28A5">
        <w:rPr>
          <w:rFonts w:ascii="Times New Roman" w:hAnsi="Times New Roman"/>
          <w:b/>
          <w:sz w:val="28"/>
          <w:szCs w:val="28"/>
        </w:rPr>
        <w:t xml:space="preserve">, </w:t>
      </w:r>
      <w:r w:rsidR="001620FD">
        <w:rPr>
          <w:rFonts w:ascii="Times New Roman" w:hAnsi="Times New Roman"/>
          <w:b/>
          <w:sz w:val="28"/>
          <w:szCs w:val="28"/>
        </w:rPr>
        <w:br/>
      </w:r>
      <w:r w:rsidR="00BF28A5" w:rsidRPr="00BF28A5">
        <w:rPr>
          <w:rFonts w:ascii="Times New Roman" w:hAnsi="Times New Roman"/>
          <w:b/>
          <w:sz w:val="28"/>
          <w:szCs w:val="28"/>
        </w:rPr>
        <w:t xml:space="preserve">код ДК 021:2015 – 72260000-5 (Ліцензії на право користування програмним забезпеченням LIGA360: </w:t>
      </w:r>
      <w:r w:rsidR="00BF28A5" w:rsidRPr="00BF28A5">
        <w:rPr>
          <w:rFonts w:ascii="Times New Roman" w:hAnsi="Times New Roman"/>
          <w:b/>
          <w:bCs/>
          <w:sz w:val="28"/>
          <w:szCs w:val="28"/>
        </w:rPr>
        <w:t>«ЮРИСТ  ПРЕМІУМ», «БУХГАЛТЕР ПРЕМІУМ», «HR ПРЕМІУМ», «КЕРІВНИК  ПРЕМІУМ»</w:t>
      </w:r>
      <w:r w:rsidR="00BF28A5" w:rsidRPr="00BF28A5">
        <w:rPr>
          <w:rFonts w:ascii="Times New Roman" w:hAnsi="Times New Roman"/>
          <w:b/>
          <w:sz w:val="28"/>
          <w:szCs w:val="28"/>
        </w:rPr>
        <w:t>)</w:t>
      </w:r>
      <w:r w:rsidR="00AA666E" w:rsidRPr="00BF28A5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66C23" w:rsidRDefault="000B1F80" w:rsidP="00C66C23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66C23" w:rsidRPr="00C66C23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UA-2024-03-29-004108-a</w:t>
      </w:r>
      <w:r w:rsidR="00CA14AD" w:rsidRPr="00C66C23">
        <w:rPr>
          <w:rFonts w:ascii="Times New Roman" w:hAnsi="Times New Roman"/>
          <w:sz w:val="28"/>
          <w:szCs w:val="28"/>
          <w:u w:val="single"/>
        </w:rPr>
        <w:t>.</w:t>
      </w:r>
    </w:p>
    <w:p w:rsidR="00C40371" w:rsidRPr="00AA666E" w:rsidRDefault="00C819C9" w:rsidP="00C66C23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F28A5" w:rsidRPr="00BF28A5">
        <w:rPr>
          <w:rFonts w:ascii="Times New Roman" w:hAnsi="Times New Roman"/>
          <w:sz w:val="28"/>
          <w:szCs w:val="28"/>
        </w:rPr>
        <w:t>1 964</w:t>
      </w:r>
      <w:r w:rsidR="00BF28A5">
        <w:rPr>
          <w:rFonts w:ascii="Times New Roman" w:hAnsi="Times New Roman"/>
          <w:sz w:val="28"/>
          <w:szCs w:val="28"/>
        </w:rPr>
        <w:t> </w:t>
      </w:r>
      <w:r w:rsidR="00BF28A5" w:rsidRPr="00BF28A5">
        <w:rPr>
          <w:rFonts w:ascii="Times New Roman" w:hAnsi="Times New Roman"/>
          <w:sz w:val="28"/>
          <w:szCs w:val="28"/>
        </w:rPr>
        <w:t>370</w:t>
      </w:r>
      <w:r w:rsidR="00BF28A5">
        <w:rPr>
          <w:rFonts w:ascii="Times New Roman" w:eastAsia="Times New Roman" w:hAnsi="Times New Roman"/>
          <w:bCs/>
          <w:sz w:val="28"/>
          <w:szCs w:val="28"/>
          <w:lang w:eastAsia="ru-RU"/>
        </w:rPr>
        <w:t>,00</w:t>
      </w:r>
      <w:r w:rsidR="00733599" w:rsidRPr="00BF28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73E1A" w:rsidRPr="00BF28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C66C23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C66C23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620FD">
        <w:rPr>
          <w:rFonts w:ascii="Times New Roman" w:hAnsi="Times New Roman" w:cs="Times New Roman"/>
          <w:sz w:val="28"/>
          <w:szCs w:val="24"/>
        </w:rPr>
        <w:t>використання інформаційно-правових систем ЛІГА: ЗАКОН надасть можливість забезпечити систематизованою та достовірною правовою інформацією у будь-який проміжок часу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66C23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E3A24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C66C23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C66C23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9475AA" w:rsidRDefault="009475AA" w:rsidP="00C66C23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0408" w:rsidRPr="00BF28A5" w:rsidRDefault="00390408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390408" w:rsidRPr="00BF28A5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22BF6"/>
    <w:rsid w:val="0015274D"/>
    <w:rsid w:val="001620FD"/>
    <w:rsid w:val="00171A72"/>
    <w:rsid w:val="00182910"/>
    <w:rsid w:val="00190E45"/>
    <w:rsid w:val="001A741C"/>
    <w:rsid w:val="001B1DDC"/>
    <w:rsid w:val="001C4E46"/>
    <w:rsid w:val="001E4E0C"/>
    <w:rsid w:val="001F3A51"/>
    <w:rsid w:val="001F7B53"/>
    <w:rsid w:val="002162C9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52F8B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920DD"/>
    <w:rsid w:val="008946BF"/>
    <w:rsid w:val="008B26F8"/>
    <w:rsid w:val="008E11A9"/>
    <w:rsid w:val="00936BFA"/>
    <w:rsid w:val="009475AA"/>
    <w:rsid w:val="0095129C"/>
    <w:rsid w:val="00967420"/>
    <w:rsid w:val="0097205C"/>
    <w:rsid w:val="009B686E"/>
    <w:rsid w:val="009E3A24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50EBF"/>
    <w:rsid w:val="00C66C23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1DA4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AD7B-6F32-4886-B8DC-D6FD9AB5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11</cp:revision>
  <cp:lastPrinted>2024-03-29T08:58:00Z</cp:lastPrinted>
  <dcterms:created xsi:type="dcterms:W3CDTF">2024-03-20T16:23:00Z</dcterms:created>
  <dcterms:modified xsi:type="dcterms:W3CDTF">2024-03-29T11:16:00Z</dcterms:modified>
</cp:coreProperties>
</file>