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3C" w:rsidRDefault="00DC113C" w:rsidP="00DC113C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DC113C" w:rsidRDefault="00DC113C" w:rsidP="00DC113C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528"/>
      </w:tblGrid>
      <w:tr w:rsidR="00DC113C" w:rsidRPr="00CC4F1A" w:rsidTr="005568D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429" w:rsidRDefault="00265429" w:rsidP="00DC113C">
            <w:pPr>
              <w:jc w:val="both"/>
              <w:rPr>
                <w:rFonts w:cs="Times New Roman"/>
                <w:sz w:val="24"/>
                <w:lang w:val="uk-UA"/>
              </w:rPr>
            </w:pPr>
            <w:r w:rsidRPr="00515C81">
              <w:rPr>
                <w:rFonts w:cs="Times New Roman"/>
                <w:sz w:val="24"/>
                <w:lang w:val="uk-UA"/>
              </w:rPr>
              <w:t>Телекомунікаційна (приймально-передавальний блок стандарту GSM/LTE 900/1800 та приймально-передавальний блок стандарту LTE 2600) і супутня апарат</w:t>
            </w:r>
            <w:r>
              <w:rPr>
                <w:rFonts w:cs="Times New Roman"/>
                <w:sz w:val="24"/>
                <w:lang w:val="uk-UA"/>
              </w:rPr>
              <w:t>ура та обладнання</w:t>
            </w:r>
          </w:p>
          <w:p w:rsidR="00DC113C" w:rsidRPr="000D111C" w:rsidRDefault="00265429" w:rsidP="0026542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lang w:val="uk-UA"/>
              </w:rPr>
              <w:t xml:space="preserve">Код Державного класифікатора </w:t>
            </w:r>
            <w:r w:rsidRPr="00515C81">
              <w:rPr>
                <w:rFonts w:cs="Times New Roman"/>
                <w:sz w:val="24"/>
                <w:lang w:val="uk-UA"/>
              </w:rPr>
              <w:t xml:space="preserve">021:2015 – 32510000-1 </w:t>
            </w:r>
            <w:r>
              <w:rPr>
                <w:rFonts w:cs="Times New Roman"/>
                <w:sz w:val="24"/>
                <w:lang w:val="uk-UA"/>
              </w:rPr>
              <w:t>«</w:t>
            </w:r>
            <w:r w:rsidRPr="00515C81">
              <w:rPr>
                <w:rFonts w:cs="Times New Roman"/>
                <w:sz w:val="24"/>
                <w:lang w:val="uk-UA"/>
              </w:rPr>
              <w:t>Бездротові телекомунікаційні системи</w:t>
            </w:r>
            <w:r>
              <w:rPr>
                <w:rFonts w:cs="Times New Roman"/>
                <w:sz w:val="24"/>
                <w:lang w:val="uk-UA"/>
              </w:rPr>
              <w:t>»</w:t>
            </w:r>
          </w:p>
        </w:tc>
      </w:tr>
      <w:tr w:rsidR="00DC113C" w:rsidRPr="000D111C" w:rsidTr="005568D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sz w:val="24"/>
                <w:szCs w:val="24"/>
                <w:lang w:val="uk-UA"/>
              </w:rPr>
              <w:t>Відкриті торги</w:t>
            </w:r>
          </w:p>
        </w:tc>
      </w:tr>
      <w:tr w:rsidR="00DC113C" w:rsidRPr="000D111C" w:rsidTr="005568D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 w:rsidP="000D111C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Унікальний номер оголошення про проведення конку</w:t>
            </w:r>
            <w:r w:rsidR="000D111C" w:rsidRPr="000D111C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рентної</w:t>
            </w:r>
            <w:r w:rsidRPr="000D111C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13C" w:rsidRPr="00CC08A4" w:rsidRDefault="00CC08A4" w:rsidP="00EB6CE0">
            <w:pPr>
              <w:snapToGrid w:val="0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C08A4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UA-2021-07-08-003085-c</w:t>
            </w:r>
          </w:p>
        </w:tc>
      </w:tr>
      <w:tr w:rsidR="00DC113C" w:rsidRPr="00CC08A4" w:rsidTr="005568D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D111C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D111C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4" w:rsidRDefault="0026542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C08A4">
              <w:rPr>
                <w:rFonts w:eastAsia="Times New Roman" w:cs="Times New Roman"/>
                <w:sz w:val="24"/>
                <w:szCs w:val="24"/>
                <w:lang w:val="uk-UA"/>
              </w:rPr>
              <w:t>3 812</w:t>
            </w:r>
            <w:r w:rsidR="005568DB">
              <w:rPr>
                <w:rFonts w:eastAsia="Times New Roman" w:cs="Times New Roman"/>
                <w:sz w:val="24"/>
                <w:szCs w:val="24"/>
                <w:lang w:val="uk-UA"/>
              </w:rPr>
              <w:t> </w:t>
            </w:r>
            <w:r w:rsidRPr="00CC08A4">
              <w:rPr>
                <w:rFonts w:eastAsia="Times New Roman" w:cs="Times New Roman"/>
                <w:sz w:val="24"/>
                <w:szCs w:val="24"/>
                <w:lang w:val="uk-UA"/>
              </w:rPr>
              <w:t>35</w:t>
            </w:r>
            <w:r w:rsidR="005568D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0 </w:t>
            </w:r>
            <w:r w:rsidRPr="00CC08A4">
              <w:rPr>
                <w:rFonts w:eastAsia="Times New Roman" w:cs="Times New Roman"/>
                <w:sz w:val="24"/>
                <w:szCs w:val="24"/>
                <w:lang w:val="uk-UA"/>
              </w:rPr>
              <w:t>(три мільйони вісімсот дванадцять тисяч</w:t>
            </w:r>
            <w:r w:rsidR="005568D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триста п’ятдесят</w:t>
            </w:r>
            <w:r w:rsidRPr="00CC08A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) </w:t>
            </w:r>
            <w:r w:rsidR="005568D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гривень </w:t>
            </w:r>
            <w:r w:rsidRPr="00CC08A4">
              <w:rPr>
                <w:rFonts w:eastAsia="Times New Roman" w:cs="Times New Roman"/>
                <w:sz w:val="24"/>
                <w:szCs w:val="24"/>
                <w:lang w:val="uk-UA"/>
              </w:rPr>
              <w:t>в т.ч. ПДВ</w:t>
            </w:r>
            <w:r w:rsidR="00CC08A4" w:rsidRPr="00CC08A4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</w:p>
          <w:p w:rsidR="00CC08A4" w:rsidRPr="00CC08A4" w:rsidRDefault="00CC08A4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:rsidR="003524E4" w:rsidRDefault="000D111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Джерел</w:t>
            </w:r>
            <w:r w:rsidR="00CC08A4">
              <w:rPr>
                <w:rFonts w:eastAsia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фінансування </w:t>
            </w:r>
            <w:r w:rsidR="00CC08A4">
              <w:rPr>
                <w:rFonts w:eastAsia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CC08A4">
              <w:rPr>
                <w:rFonts w:eastAsia="Times New Roman" w:cs="Times New Roman"/>
                <w:sz w:val="24"/>
                <w:szCs w:val="24"/>
                <w:lang w:val="uk-UA"/>
              </w:rPr>
              <w:t>кошти спеціального фонду Державного бюджету У</w:t>
            </w:r>
            <w:bookmarkStart w:id="0" w:name="_GoBack"/>
            <w:bookmarkEnd w:id="0"/>
            <w:r w:rsidR="00CC08A4">
              <w:rPr>
                <w:rFonts w:eastAsia="Times New Roman" w:cs="Times New Roman"/>
                <w:sz w:val="24"/>
                <w:szCs w:val="24"/>
                <w:lang w:val="uk-UA"/>
              </w:rPr>
              <w:t>країни (субвенції).</w:t>
            </w:r>
          </w:p>
          <w:p w:rsidR="00CC08A4" w:rsidRDefault="00CC08A4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:rsidR="000D111C" w:rsidRPr="00CC08A4" w:rsidRDefault="00CC08A4" w:rsidP="00A4004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CC08A4">
              <w:rPr>
                <w:sz w:val="24"/>
                <w:szCs w:val="24"/>
                <w:lang w:val="uk-UA" w:bidi="uk-UA"/>
              </w:rPr>
              <w:t xml:space="preserve">Обґрунтування розміру бюджетного призначення: </w:t>
            </w:r>
            <w:r w:rsidRPr="00CC08A4">
              <w:rPr>
                <w:sz w:val="24"/>
                <w:szCs w:val="24"/>
                <w:lang w:val="uk-UA"/>
              </w:rPr>
              <w:t xml:space="preserve">рішення Житомирської обласної ради </w:t>
            </w:r>
            <w:r w:rsidRPr="00CC08A4">
              <w:rPr>
                <w:sz w:val="24"/>
                <w:szCs w:val="24"/>
              </w:rPr>
              <w:t>IV</w:t>
            </w:r>
            <w:r w:rsidRPr="00CC08A4">
              <w:rPr>
                <w:sz w:val="24"/>
                <w:szCs w:val="24"/>
                <w:lang w:val="uk-UA"/>
              </w:rPr>
              <w:t xml:space="preserve"> сесії </w:t>
            </w:r>
            <w:r w:rsidRPr="00CC08A4">
              <w:rPr>
                <w:bCs/>
                <w:sz w:val="24"/>
                <w:szCs w:val="24"/>
              </w:rPr>
              <w:t>V</w:t>
            </w:r>
            <w:r w:rsidRPr="00CC08A4">
              <w:rPr>
                <w:bCs/>
                <w:sz w:val="24"/>
                <w:szCs w:val="24"/>
                <w:lang w:val="uk-UA"/>
              </w:rPr>
              <w:t>І</w:t>
            </w:r>
            <w:r w:rsidRPr="00CC08A4">
              <w:rPr>
                <w:bCs/>
                <w:sz w:val="24"/>
                <w:szCs w:val="24"/>
              </w:rPr>
              <w:t>II</w:t>
            </w:r>
            <w:r w:rsidRPr="00CC08A4">
              <w:rPr>
                <w:bCs/>
                <w:sz w:val="24"/>
                <w:szCs w:val="24"/>
                <w:lang w:val="uk-UA"/>
              </w:rPr>
              <w:t xml:space="preserve"> скликання</w:t>
            </w:r>
            <w:r w:rsidRPr="00CC08A4">
              <w:rPr>
                <w:sz w:val="24"/>
                <w:szCs w:val="24"/>
                <w:lang w:val="uk-UA"/>
              </w:rPr>
              <w:t xml:space="preserve"> від 27</w:t>
            </w:r>
            <w:r w:rsidRPr="00CC08A4">
              <w:rPr>
                <w:bCs/>
                <w:sz w:val="24"/>
                <w:szCs w:val="24"/>
              </w:rPr>
              <w:t> </w:t>
            </w:r>
            <w:r w:rsidRPr="00CC08A4">
              <w:rPr>
                <w:bCs/>
                <w:sz w:val="24"/>
                <w:szCs w:val="24"/>
                <w:lang w:val="uk-UA"/>
              </w:rPr>
              <w:t>травня 2021</w:t>
            </w:r>
            <w:r w:rsidRPr="00CC08A4">
              <w:rPr>
                <w:bCs/>
                <w:sz w:val="24"/>
                <w:szCs w:val="24"/>
              </w:rPr>
              <w:t> </w:t>
            </w:r>
            <w:r w:rsidRPr="00CC08A4">
              <w:rPr>
                <w:bCs/>
                <w:sz w:val="24"/>
                <w:szCs w:val="24"/>
                <w:lang w:val="uk-UA"/>
              </w:rPr>
              <w:t>року №89 «</w:t>
            </w:r>
            <w:r w:rsidRPr="00CC08A4">
              <w:rPr>
                <w:sz w:val="24"/>
                <w:szCs w:val="24"/>
                <w:lang w:val="uk-UA"/>
              </w:rPr>
              <w:t>Комплексна Програма забезпечення охорони прав і свобод людини, протидії злочинності, підтримання публічної безпеки і порядку у Житомирській області на 2021 – 2025 роки</w:t>
            </w:r>
            <w:r w:rsidRPr="00CC08A4">
              <w:rPr>
                <w:bCs/>
                <w:sz w:val="24"/>
                <w:szCs w:val="24"/>
                <w:lang w:val="uk-UA"/>
              </w:rPr>
              <w:t>».</w:t>
            </w:r>
          </w:p>
        </w:tc>
      </w:tr>
      <w:tr w:rsidR="00EB6CE0" w:rsidRPr="005568DB" w:rsidTr="005568DB">
        <w:trPr>
          <w:trHeight w:val="76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0" w:rsidRPr="005568DB" w:rsidRDefault="00EB6CE0" w:rsidP="00EB6CE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568DB">
              <w:rPr>
                <w:rFonts w:eastAsia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0" w:rsidRPr="005568DB" w:rsidRDefault="00EB6CE0" w:rsidP="00EB6CE0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568D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CE0" w:rsidRPr="005568DB" w:rsidRDefault="00EB6CE0" w:rsidP="00EB6CE0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568DB">
              <w:rPr>
                <w:rFonts w:cs="Times New Roman"/>
                <w:sz w:val="24"/>
                <w:szCs w:val="24"/>
                <w:lang w:val="uk-UA" w:bidi="uk-UA"/>
              </w:rPr>
              <w:t>Обґрунтування</w:t>
            </w:r>
            <w:r w:rsidRPr="005568DB">
              <w:rPr>
                <w:sz w:val="24"/>
                <w:szCs w:val="24"/>
                <w:lang w:val="uk-UA"/>
              </w:rPr>
              <w:t xml:space="preserve"> технічних та якісних характеристик телекомунікаційної (приймально-передавальний блок стандарту </w:t>
            </w:r>
            <w:r w:rsidRPr="005568DB">
              <w:rPr>
                <w:sz w:val="24"/>
                <w:szCs w:val="24"/>
              </w:rPr>
              <w:t>GSM</w:t>
            </w:r>
            <w:r w:rsidRPr="005568DB">
              <w:rPr>
                <w:sz w:val="24"/>
                <w:szCs w:val="24"/>
                <w:lang w:val="uk-UA"/>
              </w:rPr>
              <w:t>/</w:t>
            </w:r>
            <w:r w:rsidRPr="005568DB">
              <w:rPr>
                <w:sz w:val="24"/>
                <w:szCs w:val="24"/>
              </w:rPr>
              <w:t>LTE</w:t>
            </w:r>
            <w:r w:rsidRPr="005568DB">
              <w:rPr>
                <w:sz w:val="24"/>
                <w:szCs w:val="24"/>
                <w:lang w:val="uk-UA"/>
              </w:rPr>
              <w:t xml:space="preserve"> 900/1800 та приймально-передавальний блок стандарту </w:t>
            </w:r>
            <w:r w:rsidRPr="005568DB">
              <w:rPr>
                <w:sz w:val="24"/>
                <w:szCs w:val="24"/>
              </w:rPr>
              <w:t>LTE</w:t>
            </w:r>
            <w:r w:rsidRPr="005568DB">
              <w:rPr>
                <w:sz w:val="24"/>
                <w:szCs w:val="24"/>
                <w:lang w:val="uk-UA"/>
              </w:rPr>
              <w:t xml:space="preserve"> 2600) і супутньої апаратури та обладнання за кодом                     ДК 021:2015 – 32510000-1:</w:t>
            </w:r>
          </w:p>
          <w:p w:rsidR="00EB6CE0" w:rsidRPr="005568DB" w:rsidRDefault="00EB6CE0" w:rsidP="00EB6CE0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EB6CE0" w:rsidRPr="005568DB" w:rsidRDefault="00EB6CE0" w:rsidP="00EB6CE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5568DB">
              <w:rPr>
                <w:rFonts w:cs="Times New Roman"/>
                <w:b/>
                <w:sz w:val="24"/>
                <w:szCs w:val="24"/>
                <w:lang w:val="uk-UA" w:bidi="uk-UA"/>
              </w:rPr>
              <w:t>1. Обґрунтування технічних і якісних характеристик предмета закупівлі:</w:t>
            </w:r>
            <w:r w:rsidRPr="005568DB">
              <w:rPr>
                <w:rFonts w:cs="Times New Roman"/>
                <w:sz w:val="24"/>
                <w:szCs w:val="24"/>
                <w:lang w:val="uk-UA" w:bidi="uk-UA"/>
              </w:rPr>
              <w:t xml:space="preserve"> необхідність модернізації технічних засобів, апаратно-програмного комплексу виявлення ідентифікаторів мобільних терміналів</w:t>
            </w:r>
            <w:r w:rsidRPr="005568DB">
              <w:rPr>
                <w:rFonts w:cs="Times New Roman"/>
                <w:color w:val="000000" w:themeColor="text1"/>
                <w:sz w:val="24"/>
                <w:szCs w:val="24"/>
                <w:lang w:val="uk-UA" w:bidi="uk-UA"/>
              </w:rPr>
              <w:t>.</w:t>
            </w:r>
            <w:r w:rsidRPr="005568DB">
              <w:rPr>
                <w:rFonts w:cs="Times New Roman"/>
                <w:sz w:val="24"/>
                <w:szCs w:val="24"/>
                <w:lang w:val="uk-UA" w:bidi="uk-UA"/>
              </w:rPr>
              <w:t xml:space="preserve"> </w:t>
            </w:r>
          </w:p>
          <w:p w:rsidR="00EB6CE0" w:rsidRPr="005568DB" w:rsidRDefault="00EB6CE0" w:rsidP="00EB6CE0">
            <w:pPr>
              <w:ind w:firstLine="426"/>
              <w:contextualSpacing/>
              <w:jc w:val="both"/>
              <w:rPr>
                <w:rFonts w:cs="Times New Roman"/>
                <w:sz w:val="24"/>
                <w:szCs w:val="24"/>
                <w:lang w:val="ru-RU" w:bidi="uk-UA"/>
              </w:rPr>
            </w:pPr>
            <w:r w:rsidRPr="005568DB">
              <w:rPr>
                <w:rFonts w:cs="Times New Roman"/>
                <w:sz w:val="24"/>
                <w:szCs w:val="24"/>
                <w:lang w:val="ru-RU" w:bidi="uk-UA"/>
              </w:rPr>
              <w:t>Основні технічні і якісні характеристики:</w:t>
            </w:r>
          </w:p>
          <w:p w:rsidR="00EB6CE0" w:rsidRPr="005568DB" w:rsidRDefault="00EB6CE0" w:rsidP="00EB6CE0">
            <w:pPr>
              <w:ind w:firstLine="426"/>
              <w:contextualSpacing/>
              <w:jc w:val="both"/>
              <w:rPr>
                <w:rFonts w:cs="Times New Roman"/>
                <w:sz w:val="24"/>
                <w:szCs w:val="24"/>
                <w:lang w:val="ru-RU" w:bidi="uk-UA"/>
              </w:rPr>
            </w:pPr>
          </w:p>
          <w:tbl>
            <w:tblPr>
              <w:tblW w:w="51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5"/>
              <w:gridCol w:w="4196"/>
              <w:gridCol w:w="567"/>
            </w:tblGrid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6CE0" w:rsidRPr="005568DB" w:rsidRDefault="00EB6CE0" w:rsidP="005568DB">
                  <w:pPr>
                    <w:jc w:val="center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5568DB">
                    <w:rPr>
                      <w:rFonts w:eastAsia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6CE0" w:rsidRPr="005568DB" w:rsidRDefault="00EB6CE0" w:rsidP="00EB6CE0">
                  <w:pPr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</w:rPr>
                  </w:pPr>
                  <w:r w:rsidRPr="005568DB">
                    <w:rPr>
                      <w:rFonts w:eastAsia="Times New Roman" w:cs="Times New Roman"/>
                      <w:bCs/>
                      <w:sz w:val="16"/>
                      <w:szCs w:val="16"/>
                    </w:rPr>
                    <w:t>Обладнання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6CE0" w:rsidRPr="005568DB" w:rsidRDefault="00EB6CE0" w:rsidP="00EB6CE0">
                  <w:pPr>
                    <w:jc w:val="center"/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5568DB">
                    <w:rPr>
                      <w:rFonts w:eastAsia="Times New Roman" w:cs="Times New Roman"/>
                      <w:sz w:val="16"/>
                      <w:szCs w:val="16"/>
                    </w:rPr>
                    <w:t>Кількість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 xml:space="preserve">Приймально-передавальний блок стандарту </w:t>
                  </w:r>
                  <w:r w:rsidRPr="005568DB">
                    <w:rPr>
                      <w:sz w:val="20"/>
                      <w:szCs w:val="20"/>
                    </w:rPr>
                    <w:t>GSM</w:t>
                  </w:r>
                  <w:r w:rsidRPr="005568DB">
                    <w:rPr>
                      <w:sz w:val="20"/>
                      <w:szCs w:val="20"/>
                      <w:lang w:val="ru-RU"/>
                    </w:rPr>
                    <w:t>/</w:t>
                  </w:r>
                  <w:r w:rsidRPr="005568DB">
                    <w:rPr>
                      <w:sz w:val="20"/>
                      <w:szCs w:val="20"/>
                    </w:rPr>
                    <w:t>LTE</w:t>
                  </w:r>
                  <w:r w:rsidRPr="005568DB">
                    <w:rPr>
                      <w:sz w:val="20"/>
                      <w:szCs w:val="20"/>
                      <w:lang w:val="ru-RU"/>
                    </w:rPr>
                    <w:t xml:space="preserve"> 900/1800 </w:t>
                  </w:r>
                  <w:r w:rsidRPr="005568DB">
                    <w:rPr>
                      <w:bCs/>
                      <w:sz w:val="20"/>
                      <w:szCs w:val="20"/>
                      <w:lang w:val="ru-RU"/>
                    </w:rPr>
                    <w:t>(4</w:t>
                  </w:r>
                  <w:r w:rsidRPr="005568DB">
                    <w:rPr>
                      <w:bCs/>
                      <w:sz w:val="20"/>
                      <w:szCs w:val="20"/>
                    </w:rPr>
                    <w:t> </w:t>
                  </w:r>
                  <w:r w:rsidRPr="005568DB">
                    <w:rPr>
                      <w:bCs/>
                      <w:sz w:val="20"/>
                      <w:szCs w:val="20"/>
                      <w:lang w:val="ru-RU"/>
                    </w:rPr>
                    <w:t>канали)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 xml:space="preserve">Приймально-передавальний блок стандарту </w:t>
                  </w:r>
                  <w:r w:rsidRPr="005568DB">
                    <w:rPr>
                      <w:sz w:val="20"/>
                      <w:szCs w:val="20"/>
                    </w:rPr>
                    <w:t>LTE</w:t>
                  </w:r>
                  <w:r w:rsidRPr="005568DB">
                    <w:rPr>
                      <w:sz w:val="20"/>
                      <w:szCs w:val="20"/>
                      <w:lang w:val="ru-RU"/>
                    </w:rPr>
                    <w:t xml:space="preserve"> 2600 </w:t>
                  </w:r>
                  <w:r w:rsidRPr="005568DB">
                    <w:rPr>
                      <w:bCs/>
                      <w:sz w:val="20"/>
                      <w:szCs w:val="20"/>
                      <w:lang w:val="ru-RU"/>
                    </w:rPr>
                    <w:t>(2</w:t>
                  </w:r>
                  <w:r w:rsidRPr="005568DB">
                    <w:rPr>
                      <w:bCs/>
                      <w:sz w:val="20"/>
                      <w:szCs w:val="20"/>
                    </w:rPr>
                    <w:t> </w:t>
                  </w:r>
                  <w:r w:rsidRPr="005568DB">
                    <w:rPr>
                      <w:bCs/>
                      <w:sz w:val="20"/>
                      <w:szCs w:val="20"/>
                      <w:lang w:val="ru-RU"/>
                    </w:rPr>
                    <w:t>канали)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 xml:space="preserve">Блок моніторингу стану акумуляторних батарей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Блок керування системою живлення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Блок для установки елементів живлення в стійку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Пульт дистанційного управління блоком керування системою живлення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Адаптер для заряджання акумуляторної батареї від станції заряджання електромобілів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lastRenderedPageBreak/>
                    <w:t>8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Адаптер для підключення приймально-передавального блоку до живлення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Блок живлення від мережі 220</w:t>
                  </w:r>
                  <w:r w:rsidRPr="005568DB">
                    <w:rPr>
                      <w:sz w:val="20"/>
                      <w:szCs w:val="20"/>
                    </w:rPr>
                    <w:t> </w:t>
                  </w:r>
                  <w:r w:rsidRPr="005568DB">
                    <w:rPr>
                      <w:sz w:val="20"/>
                      <w:szCs w:val="20"/>
                      <w:lang w:val="ru-RU"/>
                    </w:rPr>
                    <w:t>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Зарядний пристрій для акумуляторних батарей від мережі 220</w:t>
                  </w:r>
                  <w:r w:rsidRPr="005568DB">
                    <w:rPr>
                      <w:sz w:val="20"/>
                      <w:szCs w:val="20"/>
                    </w:rPr>
                    <w:t> </w:t>
                  </w:r>
                  <w:r w:rsidRPr="005568DB">
                    <w:rPr>
                      <w:sz w:val="20"/>
                      <w:szCs w:val="20"/>
                      <w:lang w:val="ru-RU"/>
                    </w:rPr>
                    <w:t>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Акумуляторна батарея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Мультидіапазонна антена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Квадроплексер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Блок комутації високочастотного сигналу мультидіапазонний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DB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</w:rPr>
                  </w:pPr>
                  <w:r w:rsidRPr="005568DB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Блок комутації сигналів супутникової системи навігації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68DB">
                    <w:rPr>
                      <w:sz w:val="16"/>
                      <w:szCs w:val="16"/>
                      <w:lang w:val="ru-RU"/>
                    </w:rPr>
                    <w:t>16</w:t>
                  </w:r>
                </w:p>
              </w:tc>
              <w:tc>
                <w:tcPr>
                  <w:tcW w:w="4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Інсталяційний комплект для автомобіля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68DB">
                    <w:rPr>
                      <w:sz w:val="16"/>
                      <w:szCs w:val="16"/>
                      <w:lang w:val="ru-RU"/>
                    </w:rPr>
                    <w:t>17</w:t>
                  </w:r>
                </w:p>
              </w:tc>
              <w:tc>
                <w:tcPr>
                  <w:tcW w:w="4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Аналізатор рівня випромінюваних сигналів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68DB">
                    <w:rPr>
                      <w:sz w:val="16"/>
                      <w:szCs w:val="16"/>
                      <w:lang w:val="ru-RU"/>
                    </w:rPr>
                    <w:t>18</w:t>
                  </w:r>
                </w:p>
              </w:tc>
              <w:tc>
                <w:tcPr>
                  <w:tcW w:w="4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Керуючий комп’ютер типу ноутбук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68DB">
                    <w:rPr>
                      <w:sz w:val="16"/>
                      <w:szCs w:val="16"/>
                      <w:lang w:val="ru-RU"/>
                    </w:rPr>
                    <w:t>19</w:t>
                  </w:r>
                </w:p>
              </w:tc>
              <w:tc>
                <w:tcPr>
                  <w:tcW w:w="4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Зовнішній накопичувач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68DB">
                    <w:rPr>
                      <w:sz w:val="16"/>
                      <w:szCs w:val="16"/>
                      <w:lang w:val="ru-RU"/>
                    </w:rPr>
                    <w:t>20</w:t>
                  </w:r>
                </w:p>
              </w:tc>
              <w:tc>
                <w:tcPr>
                  <w:tcW w:w="4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Маршрутизатор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</w:tr>
            <w:tr w:rsidR="00EB6CE0" w:rsidRPr="005568DB" w:rsidTr="005568DB">
              <w:trPr>
                <w:trHeight w:val="300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68DB">
                    <w:rPr>
                      <w:sz w:val="16"/>
                      <w:szCs w:val="16"/>
                      <w:lang w:val="ru-RU"/>
                    </w:rPr>
                    <w:t>21</w:t>
                  </w:r>
                </w:p>
              </w:tc>
              <w:tc>
                <w:tcPr>
                  <w:tcW w:w="4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6CE0" w:rsidRPr="005568DB" w:rsidRDefault="00EB6CE0" w:rsidP="00EB6CE0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Інвертор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6CE0" w:rsidRPr="005568DB" w:rsidRDefault="00EB6CE0" w:rsidP="005568D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568DB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</w:tr>
          </w:tbl>
          <w:p w:rsidR="005568DB" w:rsidRDefault="005568DB" w:rsidP="005568DB">
            <w:pPr>
              <w:pStyle w:val="ac"/>
              <w:ind w:left="0"/>
              <w:jc w:val="left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jc w:val="left"/>
              <w:rPr>
                <w:lang w:val="uk-UA"/>
              </w:rPr>
            </w:pPr>
            <w:r w:rsidRPr="005568DB">
              <w:rPr>
                <w:lang w:val="uk-UA"/>
              </w:rPr>
              <w:t>Вимоги до функціональності:</w:t>
            </w:r>
          </w:p>
          <w:p w:rsidR="005568DB" w:rsidRPr="005568DB" w:rsidRDefault="005568DB" w:rsidP="005568DB">
            <w:pPr>
              <w:pStyle w:val="ac"/>
              <w:ind w:left="0"/>
              <w:jc w:val="left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1.1. Приймально-передавальний блок стандарту GSM/LTE 900/1800 (4 канали)</w:t>
            </w:r>
            <w:r w:rsidRPr="005568DB">
              <w:rPr>
                <w:lang w:val="uk-UA"/>
              </w:rPr>
              <w:t xml:space="preserve"> – конструктивно повинен бути виконаний у вигляді 3U блоку, для можливості встановлення в стійку, а також використання його як окремого блоку.</w:t>
            </w:r>
          </w:p>
          <w:p w:rsidR="005568DB" w:rsidRPr="005568DB" w:rsidRDefault="005568DB" w:rsidP="005568DB">
            <w:pPr>
              <w:pStyle w:val="aa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1.1.1. До складу блоку повинні входити: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дві базові станції стандарту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приймально-передавальний підсилюючий тракт стандарту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1800;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приймально-передавальний підсилюючий тракт стандарту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900;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датчик визначення </w:t>
            </w:r>
            <w:r w:rsidRPr="005568DB">
              <w:rPr>
                <w:rFonts w:cs="Times New Roman"/>
                <w:sz w:val="24"/>
                <w:szCs w:val="24"/>
              </w:rPr>
              <w:t>GPS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-координат;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система аналізу радіообстановки в стандартах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та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система примусового охолоджування модулів, що входять до складу блоку.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1.1.2. Технічні характеристики модулів і блоку: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стандарти базових станцій: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900,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1800,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900,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1800;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максимальна вихідна потужність однієї несучої частоти 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br/>
              <w:t>(900 МГц) – ≤</w:t>
            </w:r>
            <w:r w:rsidRPr="005568DB">
              <w:rPr>
                <w:rFonts w:cs="Times New Roman"/>
                <w:sz w:val="24"/>
                <w:szCs w:val="24"/>
              </w:rPr>
              <w:t> 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30 Вт;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максимальна вихідна потужність однієї несучої частоти 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br/>
              <w:t>(1800 МГц) – ≤ 30 Вт;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кількість одночасно випромінюючих каналів – 4;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керування рівнем потужності – окремо за кожним каналом;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діапазон робочих температур – від +4 до +50 °С;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діапазон напруги живлення – від 12 до 30 В;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lastRenderedPageBreak/>
              <w:t>- максимальна споживана потужність – не більше 500</w:t>
            </w:r>
            <w:r w:rsidRPr="005568DB">
              <w:rPr>
                <w:rFonts w:cs="Times New Roman"/>
                <w:sz w:val="24"/>
                <w:szCs w:val="24"/>
              </w:rPr>
              <w:t> 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Вт;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режим охолодження – примусовий автоматичний;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частотний діапазон передавального тракту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1800 – 1805-1880 МГц;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частотний діапазон приймального тракту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1800 – 1710-1785 МГц;</w:t>
            </w:r>
          </w:p>
          <w:p w:rsidR="005568DB" w:rsidRPr="005568DB" w:rsidRDefault="005568DB" w:rsidP="005568DB">
            <w:pPr>
              <w:tabs>
                <w:tab w:val="left" w:pos="175"/>
                <w:tab w:val="left" w:pos="458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нерівномірність амплітудно-частотної характеристики приймально-передавального підсилюючого тракту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1800 – ±1</w:t>
            </w:r>
            <w:r w:rsidRPr="005568DB">
              <w:rPr>
                <w:rFonts w:cs="Times New Roman"/>
                <w:sz w:val="24"/>
                <w:szCs w:val="24"/>
              </w:rPr>
              <w:t> dB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частотний діапазон передавального тракту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900 – 925-960 МГц;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частотний діапазон приймального тракту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900 – 880-915 МГц;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нерівномірність амплітудно-частотної характеристики приймально-передавального підсилюючого тракту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900 – ±1</w:t>
            </w:r>
            <w:r w:rsidRPr="005568DB">
              <w:rPr>
                <w:rFonts w:cs="Times New Roman"/>
                <w:sz w:val="24"/>
                <w:szCs w:val="24"/>
              </w:rPr>
              <w:t> dB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захист від зміни полярності вхідної напруги;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роз’єм для підключення зовнішньої антени приймально-передавального підсилюючого тракту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1800/900 – </w:t>
            </w:r>
            <w:r w:rsidRPr="005568DB">
              <w:rPr>
                <w:rFonts w:cs="Times New Roman"/>
                <w:sz w:val="24"/>
                <w:szCs w:val="24"/>
              </w:rPr>
              <w:t>type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568DB">
              <w:rPr>
                <w:rFonts w:cs="Times New Roman"/>
                <w:sz w:val="24"/>
                <w:szCs w:val="24"/>
              </w:rPr>
              <w:t>N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роз’єм для підключення зовнішньої антени системи аналізу радіообстановки в стандартах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та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– </w:t>
            </w:r>
            <w:r w:rsidRPr="005568DB">
              <w:rPr>
                <w:rFonts w:cs="Times New Roman"/>
                <w:sz w:val="24"/>
                <w:szCs w:val="24"/>
              </w:rPr>
              <w:t>SMA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; 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роз’єм для підключення зовнішньої антени датчика визначення </w:t>
            </w:r>
            <w:r w:rsidRPr="005568DB">
              <w:rPr>
                <w:rFonts w:cs="Times New Roman"/>
                <w:sz w:val="24"/>
                <w:szCs w:val="24"/>
              </w:rPr>
              <w:t>GPS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-координат – </w:t>
            </w:r>
            <w:r w:rsidRPr="005568DB">
              <w:rPr>
                <w:rFonts w:cs="Times New Roman"/>
                <w:sz w:val="24"/>
                <w:szCs w:val="24"/>
              </w:rPr>
              <w:t>SMA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1.1.3. Блок має забезпечувати: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аналіз радіообстановки в стандартах </w:t>
            </w:r>
            <w:r w:rsidRPr="005568DB">
              <w:rPr>
                <w:rFonts w:cs="Times New Roman"/>
                <w:sz w:val="24"/>
                <w:szCs w:val="24"/>
              </w:rPr>
              <w:t>GSM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та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(без реєстрації в мережах операторів);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виявлення заміни </w:t>
            </w:r>
            <w:r w:rsidRPr="005568DB">
              <w:rPr>
                <w:rFonts w:cs="Times New Roman"/>
                <w:sz w:val="24"/>
                <w:szCs w:val="24"/>
              </w:rPr>
              <w:t>SIM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-карти;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режим вибіркового придушення зв’язку;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масова розсилка повідомлень;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збір ідентифікаторів (</w:t>
            </w:r>
            <w:r w:rsidRPr="005568DB">
              <w:rPr>
                <w:rFonts w:cs="Times New Roman"/>
                <w:sz w:val="24"/>
                <w:szCs w:val="24"/>
              </w:rPr>
              <w:t>IMEI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568DB">
              <w:rPr>
                <w:rFonts w:cs="Times New Roman"/>
                <w:sz w:val="24"/>
                <w:szCs w:val="24"/>
              </w:rPr>
              <w:t>IMSI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568DB">
              <w:rPr>
                <w:rFonts w:cs="Times New Roman"/>
                <w:sz w:val="24"/>
                <w:szCs w:val="24"/>
              </w:rPr>
              <w:t>TMSI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) та параметрів мобільних терміналів у зоні роботи комплексу;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реєстрація всіх мобільних терміналів на комплексі у зоні його роботи;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опитування мобільного термінала;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керування рівнем випромінювання мобільного терміналу;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можливість перенаправляти ціль на вказаний канал (тільки для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); 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зміну режимів роботи блоку (в тому числі </w:t>
            </w:r>
            <w:r w:rsidRPr="005568DB">
              <w:rPr>
                <w:rFonts w:cs="Times New Roman"/>
                <w:sz w:val="24"/>
                <w:szCs w:val="24"/>
              </w:rPr>
              <w:t>L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5568DB">
              <w:rPr>
                <w:rFonts w:cs="Times New Roman"/>
                <w:sz w:val="24"/>
                <w:szCs w:val="24"/>
              </w:rPr>
              <w:t>C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) без необхідності його перезапуску.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1.1.4. Вимоги до програмного забезпечення керування блоком: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автоматичне додавання в список об’єктів термінала при виявленні зміни одного з параметрів (</w:t>
            </w:r>
            <w:r w:rsidRPr="005568DB">
              <w:rPr>
                <w:rFonts w:cs="Times New Roman"/>
                <w:sz w:val="24"/>
                <w:szCs w:val="24"/>
              </w:rPr>
              <w:t>IMEI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або </w:t>
            </w:r>
            <w:r w:rsidRPr="005568DB">
              <w:rPr>
                <w:rFonts w:cs="Times New Roman"/>
                <w:sz w:val="24"/>
                <w:szCs w:val="24"/>
              </w:rPr>
              <w:t>IMSI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) із зазначенням зміненого параметра;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попередній розрахунок області пошуку мобільного терміналу; 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lastRenderedPageBreak/>
              <w:t>- фіксацію роботи активних працюючих комплексів аналогічного типу за результатами оцінки радіоелектронної обстановки;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збереження результатів роботи блоку в базі даних типу </w:t>
            </w:r>
            <w:r w:rsidRPr="005568DB">
              <w:rPr>
                <w:rFonts w:cs="Times New Roman"/>
                <w:sz w:val="24"/>
                <w:szCs w:val="24"/>
              </w:rPr>
              <w:t>SQL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ведення бази даних параметрів базових станцій операторів стільникового зв’язку;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звукова та візуальна індикація події при реєстрації термінала зі списку терміналів;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аналіз зон покриття базових станцій операторів стільникового зв’язку;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відображення інформації про місце розташування автомобіля на мапі;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відображення маршруту із візуальною індикацією рівня прийнятого сигналу;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відображення точок реєстрації та втрати терміналу;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підтримка наступних форматів карт: растрові карти з файлом гео-прив’язки стандарту програми </w:t>
            </w:r>
            <w:r w:rsidRPr="005568DB">
              <w:rPr>
                <w:rFonts w:cs="Times New Roman"/>
                <w:sz w:val="24"/>
                <w:szCs w:val="24"/>
              </w:rPr>
              <w:t>Oziexplorer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; векторні карти у форматі </w:t>
            </w:r>
            <w:r w:rsidRPr="005568DB">
              <w:rPr>
                <w:rFonts w:cs="Times New Roman"/>
                <w:sz w:val="24"/>
                <w:szCs w:val="24"/>
              </w:rPr>
              <w:t>Autocad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568DB">
              <w:rPr>
                <w:rFonts w:cs="Times New Roman"/>
                <w:sz w:val="24"/>
                <w:szCs w:val="24"/>
              </w:rPr>
              <w:t>Mapinfo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; автоматичне завантаження з інтернету і використання карт </w:t>
            </w:r>
            <w:r w:rsidRPr="005568DB">
              <w:rPr>
                <w:rFonts w:cs="Times New Roman"/>
                <w:sz w:val="24"/>
                <w:szCs w:val="24"/>
              </w:rPr>
              <w:t>Google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, можливість включення шарів відображення в режимі схеми, супутника або змішаного режиму.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1.1.5. Блок має бути сумісним з комплексом виявлення ідентифікаторів мобільних терміналів стандарту UMTS серії «</w:t>
            </w:r>
            <w:r w:rsidRPr="005568DB">
              <w:rPr>
                <w:lang w:val="en-US"/>
              </w:rPr>
              <w:t>VARAN</w:t>
            </w:r>
            <w:r w:rsidRPr="005568DB">
              <w:rPr>
                <w:lang w:val="uk-UA"/>
              </w:rPr>
              <w:t>».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1.2. Приймально-передавальний блок стандарту LTE 2600 (2 канали)</w:t>
            </w:r>
            <w:r w:rsidRPr="005568DB">
              <w:rPr>
                <w:lang w:val="uk-UA"/>
              </w:rPr>
              <w:t xml:space="preserve"> – конструктивно повинен бути виконаний у вигляді 3U блоку, для можливості встановлення в стійку, а також використання його як окремого блоку.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1.2.1. До складу блоку повинні входити: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базова станції стандарту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приймально-передавальний підсилюючий тракт стандарту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2600;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датчик визначення </w:t>
            </w:r>
            <w:r w:rsidRPr="005568DB">
              <w:rPr>
                <w:rFonts w:cs="Times New Roman"/>
                <w:sz w:val="24"/>
                <w:szCs w:val="24"/>
              </w:rPr>
              <w:t>GPS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-координат;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система аналізу радіообстановки в стандарті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система примусового охолоджування модулів, що входять до складу блоку.</w:t>
            </w:r>
          </w:p>
          <w:p w:rsidR="005568DB" w:rsidRPr="005568DB" w:rsidRDefault="005568DB" w:rsidP="005568DB">
            <w:pPr>
              <w:tabs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1.2.2. Технічні характеристики модулів і блоку: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стандарт базових станцій: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2600;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максимальна вихідна потужність однієї несучої частоти 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br/>
              <w:t>(2600 МГц) – ≤ 30 Вт;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кількість одночасно випромінюючих каналів – 2;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керування рівнем потужності – окремо за кожним каналом;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діапазон робочих температур – від +4 до +50 °С;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діапазон напруги живлення – від 12 до 30 В;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lastRenderedPageBreak/>
              <w:t>- максимальна споживана потужність – не більше 500</w:t>
            </w:r>
            <w:r w:rsidRPr="005568DB">
              <w:rPr>
                <w:rFonts w:cs="Times New Roman"/>
                <w:sz w:val="24"/>
                <w:szCs w:val="24"/>
              </w:rPr>
              <w:t> 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Вт;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режим охолодження – примусовий автоматичний;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захист від зміни полярності вхідної напруги;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роз’єм для підключення зовнішньої антени приймально-передавального підсилюючого тракту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2600 – </w:t>
            </w:r>
            <w:r w:rsidRPr="005568DB">
              <w:rPr>
                <w:rFonts w:cs="Times New Roman"/>
                <w:sz w:val="24"/>
                <w:szCs w:val="24"/>
              </w:rPr>
              <w:t>type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568DB">
              <w:rPr>
                <w:rFonts w:cs="Times New Roman"/>
                <w:sz w:val="24"/>
                <w:szCs w:val="24"/>
              </w:rPr>
              <w:t>N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роз’єм для підключення зовнішньої антени системи аналізу радіообстановки в стандарті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– </w:t>
            </w:r>
            <w:r w:rsidRPr="005568DB">
              <w:rPr>
                <w:rFonts w:cs="Times New Roman"/>
                <w:sz w:val="24"/>
                <w:szCs w:val="24"/>
              </w:rPr>
              <w:t>SMA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; 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роз’єм для підключення зовнішньої антени датчика визначення </w:t>
            </w:r>
            <w:r w:rsidRPr="005568DB">
              <w:rPr>
                <w:rFonts w:cs="Times New Roman"/>
                <w:sz w:val="24"/>
                <w:szCs w:val="24"/>
              </w:rPr>
              <w:t>GPS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-координат – </w:t>
            </w:r>
            <w:r w:rsidRPr="005568DB">
              <w:rPr>
                <w:rFonts w:cs="Times New Roman"/>
                <w:sz w:val="24"/>
                <w:szCs w:val="24"/>
              </w:rPr>
              <w:t>SMA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чутливість – не гірше 107</w:t>
            </w:r>
            <w:r w:rsidRPr="005568DB">
              <w:rPr>
                <w:rFonts w:cs="Times New Roman"/>
                <w:sz w:val="24"/>
                <w:szCs w:val="24"/>
              </w:rPr>
              <w:t> 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дБм.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1.2.3. Блок має забезпечувати: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аналіз радіообстановки в стандарті </w:t>
            </w:r>
            <w:r w:rsidRPr="005568DB">
              <w:rPr>
                <w:rFonts w:cs="Times New Roman"/>
                <w:sz w:val="24"/>
                <w:szCs w:val="24"/>
              </w:rPr>
              <w:t>LTE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(без реєстрації в мережах операторів);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виявлення заміни </w:t>
            </w:r>
            <w:r w:rsidRPr="005568DB">
              <w:rPr>
                <w:rFonts w:cs="Times New Roman"/>
                <w:sz w:val="24"/>
                <w:szCs w:val="24"/>
              </w:rPr>
              <w:t>SIM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-карти;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збір ідентифікаторів (</w:t>
            </w:r>
            <w:r w:rsidRPr="005568DB">
              <w:rPr>
                <w:rFonts w:cs="Times New Roman"/>
                <w:sz w:val="24"/>
                <w:szCs w:val="24"/>
              </w:rPr>
              <w:t>IMEI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568DB">
              <w:rPr>
                <w:rFonts w:cs="Times New Roman"/>
                <w:sz w:val="24"/>
                <w:szCs w:val="24"/>
              </w:rPr>
              <w:t>IMSI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568DB">
              <w:rPr>
                <w:rFonts w:cs="Times New Roman"/>
                <w:sz w:val="24"/>
                <w:szCs w:val="24"/>
              </w:rPr>
              <w:t>TMSI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) та параметрів мобільних терміналів у зоні роботи комплексу;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реєстрація всіх мобільних терміналів на комплексі у зоні його роботи;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опитування мобільного термінала;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керування рівнем випромінювання мобільного терміналу;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можливість перенаправляти ціль на вказаний канал; 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зміну режимів роботи блоку (в тому числі </w:t>
            </w:r>
            <w:r w:rsidRPr="005568DB">
              <w:rPr>
                <w:rFonts w:cs="Times New Roman"/>
                <w:sz w:val="24"/>
                <w:szCs w:val="24"/>
              </w:rPr>
              <w:t>L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5568DB">
              <w:rPr>
                <w:rFonts w:cs="Times New Roman"/>
                <w:sz w:val="24"/>
                <w:szCs w:val="24"/>
              </w:rPr>
              <w:t>C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) без необхідності його перезапуску.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1.2.4. Вимоги до програмного забезпечення керування блоком: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автоматичне додавання в список об’єктів термінала при виявленні зміни одного з параметрів (</w:t>
            </w:r>
            <w:r w:rsidRPr="005568DB">
              <w:rPr>
                <w:rFonts w:cs="Times New Roman"/>
                <w:sz w:val="24"/>
                <w:szCs w:val="24"/>
              </w:rPr>
              <w:t>IMEI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або </w:t>
            </w:r>
            <w:r w:rsidRPr="005568DB">
              <w:rPr>
                <w:rFonts w:cs="Times New Roman"/>
                <w:sz w:val="24"/>
                <w:szCs w:val="24"/>
              </w:rPr>
              <w:t>IMSI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) із зазначенням зміненого параметра;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попередній розрахунок області пошуку мобільного терміналу; 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фіксацію роботи активних працюючих комплексів аналогічного типу за результатами оцінки радіоелектронної обстановки;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збереження результатів роботи блоку в базі даних типу </w:t>
            </w:r>
            <w:r w:rsidRPr="005568DB">
              <w:rPr>
                <w:rFonts w:cs="Times New Roman"/>
                <w:sz w:val="24"/>
                <w:szCs w:val="24"/>
              </w:rPr>
              <w:t>SQL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ведення бази даних параметрів базових станцій операторів стільникового зв’язку;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звукова та візуальна індикація події при реєстрації термінала зі списку терміналів;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аналіз зон покриття базових станцій операторів стільникового зв’язку;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відображення інформації про місце розташування автомобіля на мапі;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>- відображення маршруту із візуальною індикацією рівня прийнятого сигналу;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lastRenderedPageBreak/>
              <w:t>- відображення точок реєстрації та втрати терміналу;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- підтримка наступних форматів карт: растрові карти з файлом гео-прив’язки стандарту програми </w:t>
            </w:r>
            <w:r w:rsidRPr="005568DB">
              <w:rPr>
                <w:rFonts w:cs="Times New Roman"/>
                <w:sz w:val="24"/>
                <w:szCs w:val="24"/>
              </w:rPr>
              <w:t>Oziexplorer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; векторні карти у форматі </w:t>
            </w:r>
            <w:r w:rsidRPr="005568DB">
              <w:rPr>
                <w:rFonts w:cs="Times New Roman"/>
                <w:sz w:val="24"/>
                <w:szCs w:val="24"/>
              </w:rPr>
              <w:t>Autocad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568DB">
              <w:rPr>
                <w:rFonts w:cs="Times New Roman"/>
                <w:sz w:val="24"/>
                <w:szCs w:val="24"/>
              </w:rPr>
              <w:t>Mapinfo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 xml:space="preserve">; автоматичне завантаження з інтернету і використання карт </w:t>
            </w:r>
            <w:r w:rsidRPr="005568DB">
              <w:rPr>
                <w:rFonts w:cs="Times New Roman"/>
                <w:sz w:val="24"/>
                <w:szCs w:val="24"/>
              </w:rPr>
              <w:t>Google</w:t>
            </w:r>
            <w:r w:rsidRPr="005568DB">
              <w:rPr>
                <w:rFonts w:cs="Times New Roman"/>
                <w:sz w:val="24"/>
                <w:szCs w:val="24"/>
                <w:lang w:val="ru-RU"/>
              </w:rPr>
              <w:t>, можливість включення шарів відображення в режимі схеми, супутника або змішаного режиму.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 xml:space="preserve">1.2.5. Блок має бути сумісним з комплексом виявлення ідентифікаторів мобільних терміналів стандарту UMTS серії </w:t>
            </w:r>
            <w:r w:rsidRPr="005568DB">
              <w:t>«</w:t>
            </w:r>
            <w:r w:rsidRPr="005568DB">
              <w:rPr>
                <w:lang w:val="en-US"/>
              </w:rPr>
              <w:t>VARAN</w:t>
            </w:r>
            <w:r w:rsidRPr="005568DB">
              <w:t>»</w:t>
            </w:r>
            <w:r w:rsidRPr="005568DB">
              <w:rPr>
                <w:lang w:val="uk-UA"/>
              </w:rPr>
              <w:t>.</w:t>
            </w:r>
          </w:p>
          <w:p w:rsidR="005568DB" w:rsidRPr="005568DB" w:rsidRDefault="005568DB" w:rsidP="005568D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 xml:space="preserve">1.3. Блок моніторингу стану акумуляторних батарей – </w:t>
            </w:r>
            <w:r w:rsidRPr="005568DB">
              <w:rPr>
                <w:lang w:val="uk-UA"/>
              </w:rPr>
              <w:t>повинен забезпечувати індикацію рівня заряду акумуляторних батарей.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1.4. Блок керування системою живлення</w:t>
            </w:r>
            <w:r w:rsidRPr="005568DB">
              <w:rPr>
                <w:lang w:val="uk-UA"/>
              </w:rPr>
              <w:t xml:space="preserve"> – повинен забезпечувати розподіл живлення між споживачами.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1.5. Блок для установки елементів живлення в стійку</w:t>
            </w:r>
            <w:r w:rsidRPr="005568DB">
              <w:rPr>
                <w:lang w:val="uk-UA"/>
              </w:rPr>
              <w:t xml:space="preserve"> – повинен забезпечувати фіксацію елементів живлення у стійці.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1.6. Пульт дистанційного управління блоком керування системою живлення</w:t>
            </w:r>
            <w:r w:rsidRPr="005568DB">
              <w:rPr>
                <w:lang w:val="uk-UA"/>
              </w:rPr>
              <w:t xml:space="preserve"> – повинен забезпечувати віддалене управління активацією/деактивацією споживачів та індикацію поточних параметрів блоку керування системою живлення.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1.7. Адаптер для заряджання акумуляторної батареї від станції заряджання електромобілів</w:t>
            </w:r>
            <w:r w:rsidRPr="005568DB">
              <w:rPr>
                <w:lang w:val="uk-UA"/>
              </w:rPr>
              <w:t xml:space="preserve"> – повинен забезпечувати підключення адаптера для заряджання акумуляторної батареї від станції заряджання електромобілів за протоколом Type1 / J1772.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1.8. Адаптер для підключення приймально-передавального блоку до блоку живлення</w:t>
            </w:r>
            <w:r w:rsidRPr="005568DB">
              <w:rPr>
                <w:lang w:val="uk-UA"/>
              </w:rPr>
              <w:t xml:space="preserve"> – повинен забезпечувати одночасне підключення мінімум шести окремих споживачів до блоку керування системою живлення.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1.9. Блок живлення від мережі 220 В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1.9.1. Технічні характеристики: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тип блоку живлення – імпульсний;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вихідна напруга – 27 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мінімальна вхідна напруга – 90 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вихідна потужність – не менше 1,5 кВт;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ККД – не менше 92 %;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lastRenderedPageBreak/>
              <w:t>- кількість фаз – 1;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матеріал корпусу – метал;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точність вимірювання – ±1 %;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тип індикації – світлодіодна;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тип охолодження – активний;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вага – до 2,1 кг;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габаритні розміри пристрою (довжина/висота/ширина) – 157x158x45мм;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1.9.2. Технічні вимоги: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захист від короткого замикання;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дистанційне керування;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захист від перевантаження;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виконання блоку живлення у перфорованому корпусі.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1.10. Зарядний пристрій для акумуляторних батарей від мережі 220 В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 xml:space="preserve">1.10.1. Технічні характеристики: 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тип акумуляторів – AGM/GEL, LiFePo4, LiIon;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режим охолодження – примусовий автоматичний;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діапазон живлення – 90-264 В / 47-63 Гц;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вихідна напруга – 23,5-30 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рекомендована ємкість батареї – 180-550 А·год;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діапазон робочих температур – від мінус 40 до +85 °С.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1.11. Акумуляторна батарея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 xml:space="preserve">1.11.1. Технічні характеристики: 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ємність – не менше 400 А·год;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номінальна напруга – 24 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діапазон робочої напруги – 22,8-25,6 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вага загальна – до 100 кг.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>1.12. Мультидіапазонна антена –</w:t>
            </w:r>
            <w:r w:rsidRPr="005568DB">
              <w:rPr>
                <w:lang w:val="uk-UA"/>
              </w:rPr>
              <w:t xml:space="preserve"> конструктивно виріб повинен мати можливість встановлення на дах автомобіля.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1.12.1. Технічні характеристики: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частотний діапазон – 790-2700 МГц;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підтримка GSM – GSM850, GSM900, GSM1800, GSM1900;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підтримка UMTS/LTE – Band 1, Band 2, Band 3, Band 5, Band 7, Band 8, Band 9, Band 20, Band 28, Band 38, Band 39, Band 40, Band 41;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імпеданс – 50 Ом;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поляризація – лінійна, вертикальна;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максимальна потужність – 300 Вт;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робочий температурний діапазон – від мінус 40 до +85 °С;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захист – IP66;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тип роз’єму – type N;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lastRenderedPageBreak/>
              <w:t>- вага – до 1,0 кг.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1.13. Квадроплексер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1.13.1. Технічні характеристики: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частотні діапазони – 790-960, 1710-1880, 1920-2170 та 2500-2690 МГц;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максимальна вхідна потужність на порт – 50 Вт;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імпеданс – 50 Ом;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робочий температурний діапазон – від мінус 40 до +60 °С;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захист – IP66;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тип роз’єму – type N;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вага – до 6,0 кг.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1.14. Блок комутації високочастотного сигналу мультидіапазонний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1.14.1 Технічні характеристики:.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напруга живлення – 7-30 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струм споживання – до 75 мА;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підтримка стандартів – GSM, UMTS, LTE;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підсилення у високочастотному тракті:</w:t>
            </w:r>
          </w:p>
          <w:p w:rsidR="005568DB" w:rsidRPr="005568DB" w:rsidRDefault="005568DB" w:rsidP="005568DB">
            <w:pPr>
              <w:pStyle w:val="ac"/>
              <w:ind w:left="709"/>
              <w:rPr>
                <w:lang w:val="uk-UA"/>
              </w:rPr>
            </w:pPr>
            <w:r w:rsidRPr="005568DB">
              <w:rPr>
                <w:lang w:val="uk-UA"/>
              </w:rPr>
              <w:t>- 900 МГц - +8dB;</w:t>
            </w:r>
          </w:p>
          <w:p w:rsidR="005568DB" w:rsidRPr="005568DB" w:rsidRDefault="005568DB" w:rsidP="005568DB">
            <w:pPr>
              <w:pStyle w:val="ac"/>
              <w:ind w:left="709"/>
              <w:rPr>
                <w:lang w:val="uk-UA"/>
              </w:rPr>
            </w:pPr>
            <w:r w:rsidRPr="005568DB">
              <w:rPr>
                <w:lang w:val="uk-UA"/>
              </w:rPr>
              <w:t>- 2100 МГц - +2dB;</w:t>
            </w:r>
          </w:p>
          <w:p w:rsidR="005568DB" w:rsidRPr="005568DB" w:rsidRDefault="005568DB" w:rsidP="005568DB">
            <w:pPr>
              <w:pStyle w:val="ac"/>
              <w:ind w:left="709"/>
              <w:rPr>
                <w:lang w:val="uk-UA"/>
              </w:rPr>
            </w:pPr>
            <w:r w:rsidRPr="005568DB">
              <w:rPr>
                <w:lang w:val="uk-UA"/>
              </w:rPr>
              <w:t>- 2600 МГц - +3dB.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1.15. Блок комутації сигналів супутникової системи навігації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1.15.1 Технічні характеристики: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напруга живлення – 7-30 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струм споживання – до 75 мА;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підтримка стандартів – GPS, ГЛОНАСС, Galileo, BeiDou;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підсилення в високо-частотному тракті – +1 dB.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1.16. Інсталяційний комплект для автомобіля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1.16.1 Інсталяційний комплект має забезпечувати: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встановлення обладнання в автомобіль рекомендованого постачальником типу, з урахуванням усіх вимог і з дотриманням санітарних норм та норм охорони праці;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розміщення блоків базових станцій 2G, 3G та 4G поколінь стільникового зв’язку;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захист операторів комплексу від електромагнітного випромінювання;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захист обладнання комплексу від механічних пошкоджень;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вентиляцію внутрішнього простору стойки.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b/>
                <w:lang w:val="uk-UA"/>
              </w:rPr>
              <w:t xml:space="preserve">1.17. Аналізатор рівня випромінюваних сигналів – </w:t>
            </w:r>
            <w:r w:rsidRPr="005568DB">
              <w:rPr>
                <w:lang w:val="uk-UA"/>
              </w:rPr>
              <w:t xml:space="preserve">конструктивно має бути виконаний у вигляді </w:t>
            </w:r>
            <w:r w:rsidRPr="005568DB">
              <w:rPr>
                <w:lang w:val="uk-UA"/>
              </w:rPr>
              <w:lastRenderedPageBreak/>
              <w:t xml:space="preserve">пластикового моноблока, що має вбудовані антени з двох сторін з розділенням на верхній та нижній набір піддіапазонів та керується із використанням будь-якого мобільного терміналу під керуванням операційної системи Android за допомогою стандартів бездротового зв’язку (типу Bluetooth). 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1.17.1. Технічні характеристики: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робота в діапазонах – GSM900, GSM1800, UMTS2100, LTE900, LTE1800, LTE2600;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чутливість – не гірше 1,5 мкВ;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динамічний діапазон – не гірше 102 дБ;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інтерфейс управління – Bluetooth;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коефіцієнт підсилення вбудованих антен – +6 dBm;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ширина діаграми спрямованості вбудованих антен – 110°;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можливість автономної роботи від вбудованого акумулятора – не менше 7 годин;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вага – не більше 1,2 кг;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габаритні розміри пристрою – не більше 160x160x50мм;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робочий температурний діапазон – від +5 до +45 °С.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1.17.2. Вимоги до програмного забезпечення керування аналізатором рівня випромінюваних сигналів: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операційна система – Android;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автоматична синхронізація програмного забезпечення керування аналізатором рівня випромінюваних сигналів з програмним забезпеченням керування блоком GSM/LTE 900/1800 (4 канали) та з програмним забезпеченням керування блоком LTE 2600 (2 канали);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візуальна та аудіо-візуальна індикація рівня вимірюваного сигналу.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1.18. Керуючий комп’ютер типу ноутбук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1.18.1. Технічні характеристики: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діагональ дисплея – від 14 до 15,6 дюймів;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роздільна здатність дисплея – від 1920х1080;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процесор – не гірше Intel Core i5;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накопичувач – SSD ємністю від 480 ГБ;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час автономної роботи – не менше 8 годин;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оперативна пам’ять – не менше 8 ГБ;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WiFi – 802.11ас.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1.19. Зовнішній накопичувач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1.19.1. Технічні характеристики: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ємність – не менше 1 ТБ;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інтерфейс – USB Type-C;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lastRenderedPageBreak/>
              <w:t>- тип флешпамяті – TLC;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швидкість читання – не менше 1000 Мб/с;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швидкість запису – не менше 1000 Мб/с;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захист – доступ до даних за відбитком пальця;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1.20. Маршрутизатор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1.20.1 Технічні характеристики: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стандарти Wi-Fi – 802.11 g/n/ac/ax (WiFi 6);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швидкість Wi-Fi – не менше 4000 Мбіт/с;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частота роботи Wi-Fi – 2,4 ГГц і 5 ГГц (двохдіапазонний);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швидкість LAN портів – не менше 1 Гбіт/с;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підтримка протоколів – IPsec, L2TP, PPTP;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захист інформації – WPA-Enterprise, WPA-PSK, WPA2-Enterprise, WPA2-PSK, WPS;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конструкція антен – зовнішня;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підтримка технології MESH;</w:t>
            </w:r>
          </w:p>
          <w:p w:rsidR="005568DB" w:rsidRPr="005568DB" w:rsidRDefault="005568DB" w:rsidP="005568DB">
            <w:pPr>
              <w:pStyle w:val="aa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- кількість антен – 6.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c"/>
              <w:ind w:left="0"/>
              <w:rPr>
                <w:b/>
                <w:lang w:val="uk-UA"/>
              </w:rPr>
            </w:pPr>
            <w:r w:rsidRPr="005568DB">
              <w:rPr>
                <w:b/>
                <w:lang w:val="uk-UA"/>
              </w:rPr>
              <w:t>1.21. Інвертор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</w:p>
          <w:p w:rsidR="005568DB" w:rsidRPr="005568DB" w:rsidRDefault="005568DB" w:rsidP="005568DB">
            <w:pPr>
              <w:pStyle w:val="aa"/>
              <w:tabs>
                <w:tab w:val="left" w:pos="709"/>
              </w:tabs>
              <w:ind w:left="0"/>
              <w:rPr>
                <w:sz w:val="24"/>
                <w:szCs w:val="24"/>
              </w:rPr>
            </w:pPr>
            <w:r w:rsidRPr="005568DB">
              <w:rPr>
                <w:sz w:val="24"/>
                <w:szCs w:val="24"/>
              </w:rPr>
              <w:t>1.21.1 Технічні характеристики: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робочий діапазон вхідної напруги – від 10,5 до 15 В (DC);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номінальна вихідна напруга – 220 В (AC);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номінальна потужність – 1 кВт;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кількість фаз – 1;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коефіцієнт нелінійних спотворень – не більше 3 %;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функції захисту – захист від короткого замикання, перевантаження, перегріву та неправильної полярності на вході;</w:t>
            </w:r>
          </w:p>
          <w:p w:rsidR="005568DB" w:rsidRPr="005568DB" w:rsidRDefault="005568DB" w:rsidP="005568DB">
            <w:pPr>
              <w:pStyle w:val="ac"/>
              <w:ind w:left="0"/>
              <w:rPr>
                <w:lang w:val="uk-UA"/>
              </w:rPr>
            </w:pPr>
            <w:r w:rsidRPr="005568DB">
              <w:rPr>
                <w:lang w:val="uk-UA"/>
              </w:rPr>
              <w:t>- діапазон робочих температур – від 0 до +40 °С.</w:t>
            </w:r>
          </w:p>
          <w:p w:rsidR="00EB6CE0" w:rsidRPr="005568DB" w:rsidRDefault="00EB6CE0" w:rsidP="00EB6CE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C5C44" w:rsidRPr="005568DB" w:rsidRDefault="00CC5C44">
      <w:pPr>
        <w:rPr>
          <w:sz w:val="24"/>
          <w:szCs w:val="24"/>
          <w:lang w:val="ru-RU"/>
        </w:rPr>
      </w:pPr>
    </w:p>
    <w:sectPr w:rsidR="00CC5C44" w:rsidRPr="005568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D4" w:rsidRDefault="00FB23D4" w:rsidP="00DC113C">
      <w:r>
        <w:separator/>
      </w:r>
    </w:p>
  </w:endnote>
  <w:endnote w:type="continuationSeparator" w:id="0">
    <w:p w:rsidR="00FB23D4" w:rsidRDefault="00FB23D4" w:rsidP="00DC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D4" w:rsidRDefault="00FB23D4" w:rsidP="00DC113C">
      <w:r>
        <w:separator/>
      </w:r>
    </w:p>
  </w:footnote>
  <w:footnote w:type="continuationSeparator" w:id="0">
    <w:p w:rsidR="00FB23D4" w:rsidRDefault="00FB23D4" w:rsidP="00DC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5"/>
    <w:rsid w:val="000D111C"/>
    <w:rsid w:val="00112E25"/>
    <w:rsid w:val="001970D4"/>
    <w:rsid w:val="00231FE3"/>
    <w:rsid w:val="00245383"/>
    <w:rsid w:val="00265429"/>
    <w:rsid w:val="003524E4"/>
    <w:rsid w:val="005568DB"/>
    <w:rsid w:val="007F59BB"/>
    <w:rsid w:val="00A4004B"/>
    <w:rsid w:val="00A874C0"/>
    <w:rsid w:val="00BA2C5F"/>
    <w:rsid w:val="00CC08A4"/>
    <w:rsid w:val="00CC4F1A"/>
    <w:rsid w:val="00CC5C44"/>
    <w:rsid w:val="00DC113C"/>
    <w:rsid w:val="00EB6CE0"/>
    <w:rsid w:val="00F60295"/>
    <w:rsid w:val="00F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06CC5"/>
  <w15:chartTrackingRefBased/>
  <w15:docId w15:val="{1C56CF6A-F18D-4674-BC50-5D935053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13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13C"/>
    <w:pPr>
      <w:tabs>
        <w:tab w:val="center" w:pos="4819"/>
        <w:tab w:val="right" w:pos="9639"/>
      </w:tabs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DC113C"/>
  </w:style>
  <w:style w:type="paragraph" w:styleId="a5">
    <w:name w:val="footer"/>
    <w:basedOn w:val="a"/>
    <w:link w:val="a6"/>
    <w:uiPriority w:val="99"/>
    <w:unhideWhenUsed/>
    <w:rsid w:val="00DC113C"/>
    <w:pPr>
      <w:tabs>
        <w:tab w:val="center" w:pos="4819"/>
        <w:tab w:val="right" w:pos="9639"/>
      </w:tabs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DC113C"/>
  </w:style>
  <w:style w:type="paragraph" w:styleId="a7">
    <w:name w:val="Balloon Text"/>
    <w:basedOn w:val="a"/>
    <w:link w:val="a8"/>
    <w:uiPriority w:val="99"/>
    <w:semiHidden/>
    <w:unhideWhenUsed/>
    <w:rsid w:val="00A4004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4004B"/>
    <w:rPr>
      <w:rFonts w:ascii="Segoe UI" w:eastAsiaTheme="minorEastAsia" w:hAnsi="Segoe UI" w:cs="Segoe UI"/>
      <w:sz w:val="18"/>
      <w:szCs w:val="18"/>
      <w:lang w:val="en-US" w:eastAsia="ru-RU"/>
    </w:rPr>
  </w:style>
  <w:style w:type="paragraph" w:styleId="a9">
    <w:name w:val="Normal (Web)"/>
    <w:basedOn w:val="a"/>
    <w:uiPriority w:val="99"/>
    <w:unhideWhenUsed/>
    <w:rsid w:val="000D111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link w:val="ab"/>
    <w:uiPriority w:val="34"/>
    <w:qFormat/>
    <w:rsid w:val="00EB6CE0"/>
    <w:pPr>
      <w:ind w:left="720"/>
      <w:contextualSpacing/>
    </w:pPr>
    <w:rPr>
      <w:rFonts w:eastAsiaTheme="minorHAnsi"/>
      <w:szCs w:val="22"/>
      <w:lang w:val="uk-UA" w:eastAsia="en-US"/>
    </w:rPr>
  </w:style>
  <w:style w:type="character" w:customStyle="1" w:styleId="ab">
    <w:name w:val="Абзац списку Знак"/>
    <w:link w:val="aa"/>
    <w:uiPriority w:val="34"/>
    <w:locked/>
    <w:rsid w:val="00EB6CE0"/>
    <w:rPr>
      <w:rFonts w:ascii="Times New Roman" w:hAnsi="Times New Roman"/>
      <w:sz w:val="28"/>
    </w:rPr>
  </w:style>
  <w:style w:type="paragraph" w:styleId="ac">
    <w:name w:val="Normal Indent"/>
    <w:basedOn w:val="a"/>
    <w:uiPriority w:val="99"/>
    <w:semiHidden/>
    <w:rsid w:val="005568DB"/>
    <w:pPr>
      <w:ind w:left="1728"/>
      <w:jc w:val="both"/>
    </w:pPr>
    <w:rPr>
      <w:rFonts w:eastAsia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10742</Words>
  <Characters>6124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2021-07-14T09:06:00Z</cp:lastPrinted>
  <dcterms:created xsi:type="dcterms:W3CDTF">2021-07-14T08:27:00Z</dcterms:created>
  <dcterms:modified xsi:type="dcterms:W3CDTF">2021-07-14T09:09:00Z</dcterms:modified>
</cp:coreProperties>
</file>